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9.xml" ContentType="application/vnd.openxmlformats-officedocument.drawingml.chart+xml"/>
  <Override PartName="/word/theme/themeOverride7.xml" ContentType="application/vnd.openxmlformats-officedocument.themeOverride+xml"/>
  <Override PartName="/word/charts/chart10.xml" ContentType="application/vnd.openxmlformats-officedocument.drawingml.chart+xml"/>
  <Override PartName="/word/theme/themeOverride8.xml" ContentType="application/vnd.openxmlformats-officedocument.themeOverride+xml"/>
  <Override PartName="/word/charts/chart11.xml" ContentType="application/vnd.openxmlformats-officedocument.drawingml.chart+xml"/>
  <Override PartName="/word/theme/themeOverride9.xml" ContentType="application/vnd.openxmlformats-officedocument.themeOverride+xml"/>
  <Override PartName="/word/charts/chart12.xml" ContentType="application/vnd.openxmlformats-officedocument.drawingml.chart+xml"/>
  <Override PartName="/word/theme/themeOverride10.xml" ContentType="application/vnd.openxmlformats-officedocument.themeOverride+xml"/>
  <Override PartName="/word/charts/chart1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1.xml" ContentType="application/vnd.openxmlformats-officedocument.themeOverride+xml"/>
  <Override PartName="/word/drawings/drawing1.xml" ContentType="application/vnd.openxmlformats-officedocument.drawingml.chartshapes+xml"/>
  <Override PartName="/word/charts/chart1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2.xml" ContentType="application/vnd.openxmlformats-officedocument.themeOverride+xml"/>
  <Override PartName="/word/charts/chart1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3.xml" ContentType="application/vnd.openxmlformats-officedocument.themeOverride+xml"/>
  <Override PartName="/word/charts/chart1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4.xml" ContentType="application/vnd.openxmlformats-officedocument.themeOverride+xml"/>
  <Override PartName="/word/charts/chart17.xml" ContentType="application/vnd.openxmlformats-officedocument.drawingml.chart+xml"/>
  <Override PartName="/word/theme/themeOverride15.xml" ContentType="application/vnd.openxmlformats-officedocument.themeOverride+xml"/>
  <Override PartName="/word/charts/chart18.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16.xml" ContentType="application/vnd.openxmlformats-officedocument.themeOverride+xml"/>
  <Override PartName="/word/charts/chart19.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7.xml" ContentType="application/vnd.openxmlformats-officedocument.themeOverride+xml"/>
  <Override PartName="/word/charts/chart20.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8.xml" ContentType="application/vnd.openxmlformats-officedocument.themeOverride+xml"/>
  <Override PartName="/word/charts/chart21.xml" ContentType="application/vnd.openxmlformats-officedocument.drawingml.chart+xml"/>
  <Override PartName="/word/theme/themeOverride19.xml" ContentType="application/vnd.openxmlformats-officedocument.themeOverride+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theme/themeOverride20.xml" ContentType="application/vnd.openxmlformats-officedocument.themeOverride+xml"/>
  <Override PartName="/word/charts/chart40.xml" ContentType="application/vnd.openxmlformats-officedocument.drawingml.chart+xml"/>
  <Override PartName="/word/theme/themeOverride21.xml" ContentType="application/vnd.openxmlformats-officedocument.themeOverride+xml"/>
  <Override PartName="/word/charts/chart41.xml" ContentType="application/vnd.openxmlformats-officedocument.drawingml.chart+xml"/>
  <Override PartName="/word/theme/themeOverride22.xml" ContentType="application/vnd.openxmlformats-officedocument.themeOverride+xml"/>
  <Override PartName="/word/charts/chart42.xml" ContentType="application/vnd.openxmlformats-officedocument.drawingml.chart+xml"/>
  <Override PartName="/word/theme/themeOverride23.xml" ContentType="application/vnd.openxmlformats-officedocument.themeOverride+xml"/>
  <Override PartName="/word/charts/chart43.xml" ContentType="application/vnd.openxmlformats-officedocument.drawingml.chart+xml"/>
  <Override PartName="/word/theme/themeOverride24.xml" ContentType="application/vnd.openxmlformats-officedocument.themeOverride+xml"/>
  <Override PartName="/word/charts/chart44.xml" ContentType="application/vnd.openxmlformats-officedocument.drawingml.chart+xml"/>
  <Override PartName="/word/theme/themeOverride25.xml" ContentType="application/vnd.openxmlformats-officedocument.themeOverride+xml"/>
  <Override PartName="/word/charts/chart45.xml" ContentType="application/vnd.openxmlformats-officedocument.drawingml.chart+xml"/>
  <Override PartName="/word/theme/themeOverride26.xml" ContentType="application/vnd.openxmlformats-officedocument.themeOverride+xml"/>
  <Override PartName="/word/charts/chart46.xml" ContentType="application/vnd.openxmlformats-officedocument.drawingml.chart+xml"/>
  <Override PartName="/word/theme/themeOverride27.xml" ContentType="application/vnd.openxmlformats-officedocument.themeOverride+xml"/>
  <Override PartName="/word/charts/chart47.xml" ContentType="application/vnd.openxmlformats-officedocument.drawingml.chart+xml"/>
  <Override PartName="/word/theme/themeOverride28.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ED4" w:rsidRPr="0058358A" w:rsidRDefault="20A081F4" w:rsidP="20A081F4">
      <w:pPr>
        <w:pStyle w:val="Heading3"/>
        <w:keepNext w:val="0"/>
        <w:tabs>
          <w:tab w:val="left" w:pos="6747"/>
        </w:tabs>
        <w:rPr>
          <w:sz w:val="26"/>
          <w:szCs w:val="26"/>
          <w:lang w:val="ro-RO"/>
        </w:rPr>
      </w:pPr>
      <w:r w:rsidRPr="0058358A">
        <w:rPr>
          <w:sz w:val="26"/>
          <w:szCs w:val="26"/>
          <w:lang w:val="ro-RO"/>
        </w:rPr>
        <w:t>INFORMAŢIE OPERATIVĂ</w:t>
      </w:r>
    </w:p>
    <w:p w:rsidR="002D2ED4" w:rsidRPr="0058358A" w:rsidRDefault="20A081F4" w:rsidP="20A081F4">
      <w:pPr>
        <w:pStyle w:val="Heading1"/>
        <w:keepNext w:val="0"/>
        <w:rPr>
          <w:sz w:val="26"/>
          <w:szCs w:val="26"/>
        </w:rPr>
      </w:pPr>
      <w:r w:rsidRPr="0058358A">
        <w:rPr>
          <w:sz w:val="26"/>
          <w:szCs w:val="26"/>
        </w:rPr>
        <w:t xml:space="preserve">cu privire la </w:t>
      </w:r>
      <w:proofErr w:type="spellStart"/>
      <w:r w:rsidRPr="0058358A">
        <w:rPr>
          <w:sz w:val="26"/>
          <w:szCs w:val="26"/>
        </w:rPr>
        <w:t>evoluţia</w:t>
      </w:r>
      <w:proofErr w:type="spellEnd"/>
      <w:r w:rsidRPr="0058358A">
        <w:rPr>
          <w:sz w:val="26"/>
          <w:szCs w:val="26"/>
        </w:rPr>
        <w:t xml:space="preserve"> social - economică a Republicii Moldova </w:t>
      </w:r>
    </w:p>
    <w:p w:rsidR="002D2ED4" w:rsidRPr="0058358A" w:rsidRDefault="20A081F4" w:rsidP="20A081F4">
      <w:pPr>
        <w:tabs>
          <w:tab w:val="left" w:pos="1701"/>
        </w:tabs>
        <w:jc w:val="center"/>
        <w:rPr>
          <w:b/>
          <w:bCs/>
          <w:sz w:val="26"/>
          <w:szCs w:val="26"/>
        </w:rPr>
      </w:pPr>
      <w:r w:rsidRPr="0058358A">
        <w:rPr>
          <w:b/>
          <w:bCs/>
          <w:sz w:val="26"/>
          <w:szCs w:val="26"/>
        </w:rPr>
        <w:t xml:space="preserve">(conform datelor disponibile la </w:t>
      </w:r>
      <w:r w:rsidR="00667A84" w:rsidRPr="0058358A">
        <w:rPr>
          <w:b/>
          <w:bCs/>
          <w:sz w:val="26"/>
          <w:szCs w:val="26"/>
        </w:rPr>
        <w:t>28</w:t>
      </w:r>
      <w:r w:rsidR="002C1525" w:rsidRPr="0058358A">
        <w:rPr>
          <w:b/>
          <w:bCs/>
          <w:sz w:val="26"/>
          <w:szCs w:val="26"/>
        </w:rPr>
        <w:t>.</w:t>
      </w:r>
      <w:r w:rsidR="007A5ADD" w:rsidRPr="0058358A">
        <w:rPr>
          <w:b/>
          <w:bCs/>
          <w:sz w:val="26"/>
          <w:szCs w:val="26"/>
        </w:rPr>
        <w:t>0</w:t>
      </w:r>
      <w:r w:rsidR="00667A84" w:rsidRPr="0058358A">
        <w:rPr>
          <w:b/>
          <w:bCs/>
          <w:sz w:val="26"/>
          <w:szCs w:val="26"/>
        </w:rPr>
        <w:t>2</w:t>
      </w:r>
      <w:r w:rsidR="002C1525" w:rsidRPr="0058358A">
        <w:rPr>
          <w:b/>
          <w:bCs/>
          <w:sz w:val="26"/>
          <w:szCs w:val="26"/>
        </w:rPr>
        <w:t>.201</w:t>
      </w:r>
      <w:r w:rsidR="007A5ADD" w:rsidRPr="0058358A">
        <w:rPr>
          <w:b/>
          <w:bCs/>
          <w:sz w:val="26"/>
          <w:szCs w:val="26"/>
        </w:rPr>
        <w:t>9</w:t>
      </w:r>
      <w:r w:rsidRPr="0058358A">
        <w:rPr>
          <w:b/>
          <w:bCs/>
          <w:sz w:val="26"/>
          <w:szCs w:val="26"/>
        </w:rPr>
        <w:t>)</w:t>
      </w:r>
    </w:p>
    <w:p w:rsidR="002A44FA" w:rsidRPr="0058358A" w:rsidRDefault="002A44FA" w:rsidP="00467CF7">
      <w:pPr>
        <w:jc w:val="both"/>
      </w:pPr>
    </w:p>
    <w:p w:rsidR="00A841DF" w:rsidRPr="00667A84" w:rsidRDefault="00A841DF" w:rsidP="00123D3F">
      <w:pPr>
        <w:jc w:val="both"/>
        <w:rPr>
          <w:u w:val="single"/>
        </w:rPr>
      </w:pPr>
    </w:p>
    <w:p w:rsidR="00DE3C22" w:rsidRPr="0058358A" w:rsidRDefault="20A081F4" w:rsidP="00DE3C22">
      <w:pPr>
        <w:jc w:val="both"/>
        <w:rPr>
          <w:sz w:val="24"/>
          <w:szCs w:val="24"/>
        </w:rPr>
      </w:pPr>
      <w:r w:rsidRPr="0058358A">
        <w:rPr>
          <w:b/>
          <w:bCs/>
          <w:sz w:val="24"/>
          <w:szCs w:val="24"/>
        </w:rPr>
        <w:t>Produsul intern brut a crescut</w:t>
      </w:r>
      <w:r w:rsidR="00157741" w:rsidRPr="0058358A">
        <w:rPr>
          <w:b/>
          <w:bCs/>
          <w:sz w:val="24"/>
          <w:szCs w:val="24"/>
        </w:rPr>
        <w:t xml:space="preserve"> cu </w:t>
      </w:r>
      <w:r w:rsidR="00663896" w:rsidRPr="0058358A">
        <w:rPr>
          <w:b/>
          <w:bCs/>
          <w:sz w:val="24"/>
          <w:szCs w:val="24"/>
        </w:rPr>
        <w:t>4</w:t>
      </w:r>
      <w:r w:rsidR="00157741" w:rsidRPr="0058358A">
        <w:rPr>
          <w:b/>
          <w:bCs/>
          <w:sz w:val="24"/>
          <w:szCs w:val="24"/>
        </w:rPr>
        <w:t>%</w:t>
      </w:r>
      <w:r w:rsidR="00DE3C22" w:rsidRPr="0058358A">
        <w:rPr>
          <w:bCs/>
          <w:sz w:val="24"/>
          <w:szCs w:val="24"/>
        </w:rPr>
        <w:t xml:space="preserve"> </w:t>
      </w:r>
      <w:r w:rsidR="00DE3C22" w:rsidRPr="0058358A">
        <w:rPr>
          <w:b/>
          <w:bCs/>
          <w:sz w:val="24"/>
          <w:szCs w:val="24"/>
        </w:rPr>
        <w:t xml:space="preserve">și </w:t>
      </w:r>
      <w:r w:rsidRPr="0058358A">
        <w:rPr>
          <w:b/>
          <w:sz w:val="24"/>
          <w:szCs w:val="24"/>
        </w:rPr>
        <w:t xml:space="preserve">a însumat </w:t>
      </w:r>
      <w:r w:rsidR="00663896" w:rsidRPr="0058358A">
        <w:rPr>
          <w:b/>
          <w:sz w:val="24"/>
          <w:szCs w:val="24"/>
        </w:rPr>
        <w:t>139,1</w:t>
      </w:r>
      <w:r w:rsidRPr="0058358A">
        <w:rPr>
          <w:b/>
          <w:sz w:val="24"/>
          <w:szCs w:val="24"/>
        </w:rPr>
        <w:t xml:space="preserve"> mild. lei</w:t>
      </w:r>
      <w:r w:rsidR="00157741" w:rsidRPr="0058358A">
        <w:rPr>
          <w:b/>
          <w:sz w:val="24"/>
          <w:szCs w:val="24"/>
        </w:rPr>
        <w:t xml:space="preserve"> </w:t>
      </w:r>
      <w:r w:rsidR="00DE3C22" w:rsidRPr="0058358A">
        <w:rPr>
          <w:b/>
          <w:sz w:val="24"/>
          <w:szCs w:val="24"/>
        </w:rPr>
        <w:t xml:space="preserve">în </w:t>
      </w:r>
      <w:r w:rsidR="00663896" w:rsidRPr="0058358A">
        <w:rPr>
          <w:b/>
          <w:sz w:val="24"/>
          <w:szCs w:val="24"/>
        </w:rPr>
        <w:t>ianuarie-septembrie 2018</w:t>
      </w:r>
      <w:r w:rsidRPr="0058358A">
        <w:rPr>
          <w:sz w:val="24"/>
          <w:szCs w:val="24"/>
        </w:rPr>
        <w:t xml:space="preserve">. </w:t>
      </w:r>
      <w:r w:rsidR="00693330" w:rsidRPr="0058358A">
        <w:rPr>
          <w:sz w:val="24"/>
          <w:szCs w:val="24"/>
        </w:rPr>
        <w:t>Valoarea adăugată brută creată în activitatea „Construcții” a avut c</w:t>
      </w:r>
      <w:r w:rsidRPr="0058358A">
        <w:rPr>
          <w:sz w:val="24"/>
          <w:szCs w:val="24"/>
        </w:rPr>
        <w:t xml:space="preserve">ea mai </w:t>
      </w:r>
      <w:r w:rsidR="00693330" w:rsidRPr="0058358A">
        <w:rPr>
          <w:sz w:val="24"/>
          <w:szCs w:val="24"/>
        </w:rPr>
        <w:t>mare</w:t>
      </w:r>
      <w:r w:rsidRPr="0058358A">
        <w:rPr>
          <w:sz w:val="24"/>
          <w:szCs w:val="24"/>
        </w:rPr>
        <w:t xml:space="preserve"> </w:t>
      </w:r>
      <w:proofErr w:type="spellStart"/>
      <w:r w:rsidRPr="0058358A">
        <w:rPr>
          <w:sz w:val="24"/>
          <w:szCs w:val="24"/>
        </w:rPr>
        <w:t>influenţă</w:t>
      </w:r>
      <w:proofErr w:type="spellEnd"/>
      <w:r w:rsidRPr="0058358A">
        <w:rPr>
          <w:sz w:val="24"/>
          <w:szCs w:val="24"/>
        </w:rPr>
        <w:t xml:space="preserve"> asupra creşterii </w:t>
      </w:r>
      <w:r w:rsidR="00693330" w:rsidRPr="0058358A">
        <w:rPr>
          <w:sz w:val="24"/>
          <w:szCs w:val="24"/>
        </w:rPr>
        <w:t xml:space="preserve">economice, </w:t>
      </w:r>
      <w:proofErr w:type="spellStart"/>
      <w:r w:rsidR="00663896" w:rsidRPr="0058358A">
        <w:rPr>
          <w:sz w:val="24"/>
          <w:szCs w:val="24"/>
        </w:rPr>
        <w:t>asigurînd</w:t>
      </w:r>
      <w:proofErr w:type="spellEnd"/>
      <w:r w:rsidR="00663896" w:rsidRPr="0058358A">
        <w:rPr>
          <w:sz w:val="24"/>
          <w:szCs w:val="24"/>
        </w:rPr>
        <w:t xml:space="preserve"> 31% din creșterea PIB; </w:t>
      </w:r>
      <w:r w:rsidR="00693330" w:rsidRPr="0058358A">
        <w:rPr>
          <w:sz w:val="24"/>
          <w:szCs w:val="24"/>
        </w:rPr>
        <w:t>după care “</w:t>
      </w:r>
      <w:proofErr w:type="spellStart"/>
      <w:r w:rsidR="00693330" w:rsidRPr="0058358A">
        <w:rPr>
          <w:sz w:val="24"/>
          <w:szCs w:val="24"/>
        </w:rPr>
        <w:t>C</w:t>
      </w:r>
      <w:r w:rsidRPr="0058358A">
        <w:rPr>
          <w:sz w:val="24"/>
          <w:szCs w:val="24"/>
        </w:rPr>
        <w:t>omerţul</w:t>
      </w:r>
      <w:proofErr w:type="spellEnd"/>
      <w:r w:rsidRPr="0058358A">
        <w:rPr>
          <w:sz w:val="24"/>
          <w:szCs w:val="24"/>
        </w:rPr>
        <w:t xml:space="preserve"> cu ridicata şi cu amănuntul, transport şi depozitare, </w:t>
      </w:r>
      <w:r w:rsidR="00157741" w:rsidRPr="0058358A">
        <w:rPr>
          <w:sz w:val="24"/>
          <w:szCs w:val="24"/>
        </w:rPr>
        <w:t>hoteluri și restaurante</w:t>
      </w:r>
      <w:r w:rsidR="00693330" w:rsidRPr="0058358A">
        <w:rPr>
          <w:sz w:val="24"/>
          <w:szCs w:val="24"/>
        </w:rPr>
        <w:t>”</w:t>
      </w:r>
      <w:r w:rsidR="00663896" w:rsidRPr="0058358A">
        <w:rPr>
          <w:sz w:val="24"/>
          <w:szCs w:val="24"/>
        </w:rPr>
        <w:t xml:space="preserve"> </w:t>
      </w:r>
      <w:r w:rsidR="00693330" w:rsidRPr="0058358A">
        <w:rPr>
          <w:sz w:val="24"/>
          <w:szCs w:val="24"/>
        </w:rPr>
        <w:t xml:space="preserve">- </w:t>
      </w:r>
      <w:r w:rsidR="00663896" w:rsidRPr="0058358A">
        <w:rPr>
          <w:sz w:val="24"/>
          <w:szCs w:val="24"/>
        </w:rPr>
        <w:t>29% din creșterea PIB</w:t>
      </w:r>
      <w:r w:rsidR="00C86EAC" w:rsidRPr="0058358A">
        <w:rPr>
          <w:sz w:val="24"/>
          <w:szCs w:val="24"/>
        </w:rPr>
        <w:t>;</w:t>
      </w:r>
      <w:r w:rsidR="00663896" w:rsidRPr="0058358A">
        <w:rPr>
          <w:sz w:val="24"/>
          <w:szCs w:val="24"/>
        </w:rPr>
        <w:t xml:space="preserve"> și</w:t>
      </w:r>
      <w:r w:rsidR="00C86EAC" w:rsidRPr="0058358A">
        <w:rPr>
          <w:sz w:val="24"/>
          <w:szCs w:val="24"/>
        </w:rPr>
        <w:t xml:space="preserve"> </w:t>
      </w:r>
      <w:r w:rsidR="00693330" w:rsidRPr="0058358A">
        <w:rPr>
          <w:sz w:val="24"/>
          <w:szCs w:val="24"/>
        </w:rPr>
        <w:t>„I</w:t>
      </w:r>
      <w:r w:rsidR="00C86EAC" w:rsidRPr="0058358A">
        <w:rPr>
          <w:sz w:val="24"/>
          <w:szCs w:val="24"/>
        </w:rPr>
        <w:t>ndustri</w:t>
      </w:r>
      <w:r w:rsidR="00693330" w:rsidRPr="0058358A">
        <w:rPr>
          <w:sz w:val="24"/>
          <w:szCs w:val="24"/>
        </w:rPr>
        <w:t>a” a asigurat</w:t>
      </w:r>
      <w:r w:rsidR="00663896" w:rsidRPr="0058358A">
        <w:rPr>
          <w:sz w:val="24"/>
          <w:szCs w:val="24"/>
        </w:rPr>
        <w:t xml:space="preserve"> 20%</w:t>
      </w:r>
      <w:r w:rsidR="00693330" w:rsidRPr="0058358A">
        <w:rPr>
          <w:sz w:val="24"/>
          <w:szCs w:val="24"/>
        </w:rPr>
        <w:t xml:space="preserve"> din creștere, respectiv</w:t>
      </w:r>
      <w:r w:rsidR="00663896" w:rsidRPr="0058358A">
        <w:rPr>
          <w:sz w:val="24"/>
          <w:szCs w:val="24"/>
        </w:rPr>
        <w:t>.</w:t>
      </w:r>
      <w:r w:rsidR="00693330" w:rsidRPr="0058358A">
        <w:rPr>
          <w:sz w:val="24"/>
          <w:szCs w:val="24"/>
        </w:rPr>
        <w:t xml:space="preserve"> Aceste trei activități au fost cele mai influente în perioada ianuarie-septembrie 2018.</w:t>
      </w:r>
    </w:p>
    <w:p w:rsidR="00C63583" w:rsidRPr="006A2723" w:rsidRDefault="00C63583" w:rsidP="00AE3ACB">
      <w:pPr>
        <w:jc w:val="both"/>
        <w:rPr>
          <w:sz w:val="24"/>
          <w:szCs w:val="26"/>
        </w:rPr>
      </w:pPr>
    </w:p>
    <w:p w:rsidR="000E15D3" w:rsidRPr="006A2723" w:rsidRDefault="00D4493B" w:rsidP="000E15D3">
      <w:pPr>
        <w:jc w:val="both"/>
        <w:rPr>
          <w:sz w:val="24"/>
          <w:szCs w:val="24"/>
        </w:rPr>
      </w:pPr>
      <w:r w:rsidRPr="00023878">
        <w:rPr>
          <w:b/>
          <w:bCs/>
          <w:sz w:val="24"/>
          <w:szCs w:val="24"/>
        </w:rPr>
        <w:t>Apar primele semne ale p</w:t>
      </w:r>
      <w:r w:rsidR="000E15D3" w:rsidRPr="00023878">
        <w:rPr>
          <w:b/>
          <w:bCs/>
          <w:sz w:val="24"/>
          <w:szCs w:val="24"/>
        </w:rPr>
        <w:t>resiunil</w:t>
      </w:r>
      <w:r w:rsidRPr="00023878">
        <w:rPr>
          <w:b/>
          <w:bCs/>
          <w:sz w:val="24"/>
          <w:szCs w:val="24"/>
        </w:rPr>
        <w:t>or</w:t>
      </w:r>
      <w:r w:rsidR="000E15D3" w:rsidRPr="00023878">
        <w:rPr>
          <w:b/>
          <w:bCs/>
          <w:sz w:val="24"/>
          <w:szCs w:val="24"/>
        </w:rPr>
        <w:t xml:space="preserve"> </w:t>
      </w:r>
      <w:r w:rsidRPr="00023878">
        <w:rPr>
          <w:b/>
          <w:bCs/>
          <w:sz w:val="24"/>
          <w:szCs w:val="24"/>
        </w:rPr>
        <w:t>in</w:t>
      </w:r>
      <w:r w:rsidR="000E15D3" w:rsidRPr="00023878">
        <w:rPr>
          <w:b/>
          <w:bCs/>
          <w:sz w:val="24"/>
          <w:szCs w:val="24"/>
        </w:rPr>
        <w:t>flaționiste</w:t>
      </w:r>
      <w:r w:rsidR="000E15D3" w:rsidRPr="007B5DE1">
        <w:rPr>
          <w:b/>
          <w:bCs/>
          <w:sz w:val="24"/>
          <w:szCs w:val="24"/>
        </w:rPr>
        <w:t xml:space="preserve">. </w:t>
      </w:r>
      <w:r w:rsidR="006A2723" w:rsidRPr="007B5DE1">
        <w:rPr>
          <w:bCs/>
          <w:sz w:val="24"/>
          <w:szCs w:val="24"/>
        </w:rPr>
        <w:t>Î</w:t>
      </w:r>
      <w:r w:rsidR="000E15D3" w:rsidRPr="007B5DE1">
        <w:rPr>
          <w:sz w:val="24"/>
          <w:szCs w:val="24"/>
        </w:rPr>
        <w:t>n luna</w:t>
      </w:r>
      <w:r w:rsidR="000E15D3" w:rsidRPr="006A2723">
        <w:rPr>
          <w:sz w:val="24"/>
          <w:szCs w:val="24"/>
        </w:rPr>
        <w:t xml:space="preserve"> </w:t>
      </w:r>
      <w:r w:rsidR="006A2723" w:rsidRPr="006A2723">
        <w:rPr>
          <w:sz w:val="24"/>
          <w:szCs w:val="24"/>
        </w:rPr>
        <w:t>ianua</w:t>
      </w:r>
      <w:r w:rsidR="000E15D3" w:rsidRPr="006A2723">
        <w:rPr>
          <w:sz w:val="24"/>
          <w:szCs w:val="24"/>
        </w:rPr>
        <w:t>rie 201</w:t>
      </w:r>
      <w:r w:rsidR="006A2723" w:rsidRPr="006A2723">
        <w:rPr>
          <w:sz w:val="24"/>
          <w:szCs w:val="24"/>
        </w:rPr>
        <w:t>9</w:t>
      </w:r>
      <w:r w:rsidR="000E15D3" w:rsidRPr="006A2723">
        <w:rPr>
          <w:sz w:val="24"/>
          <w:szCs w:val="24"/>
        </w:rPr>
        <w:t xml:space="preserve"> rata inflației a constituit </w:t>
      </w:r>
      <w:r w:rsidR="006A2723" w:rsidRPr="006A2723">
        <w:rPr>
          <w:sz w:val="24"/>
          <w:szCs w:val="24"/>
        </w:rPr>
        <w:t>1,3</w:t>
      </w:r>
      <w:r w:rsidR="000E15D3" w:rsidRPr="006A2723">
        <w:rPr>
          <w:sz w:val="24"/>
          <w:szCs w:val="24"/>
        </w:rPr>
        <w:t>% față de decembrie 201</w:t>
      </w:r>
      <w:r w:rsidR="006A2723" w:rsidRPr="006A2723">
        <w:rPr>
          <w:sz w:val="24"/>
          <w:szCs w:val="24"/>
        </w:rPr>
        <w:t>8</w:t>
      </w:r>
      <w:r w:rsidR="000E15D3" w:rsidRPr="006A2723">
        <w:rPr>
          <w:sz w:val="24"/>
          <w:szCs w:val="24"/>
        </w:rPr>
        <w:t xml:space="preserve">, </w:t>
      </w:r>
      <w:r w:rsidR="000E15D3" w:rsidRPr="006A2723">
        <w:rPr>
          <w:sz w:val="24"/>
        </w:rPr>
        <w:t>înregistrînd o m</w:t>
      </w:r>
      <w:r w:rsidR="006A2723" w:rsidRPr="006A2723">
        <w:rPr>
          <w:sz w:val="24"/>
        </w:rPr>
        <w:t>ajo</w:t>
      </w:r>
      <w:r w:rsidR="000E15D3" w:rsidRPr="006A2723">
        <w:rPr>
          <w:sz w:val="24"/>
        </w:rPr>
        <w:t>rare de</w:t>
      </w:r>
      <w:r>
        <w:rPr>
          <w:sz w:val="24"/>
        </w:rPr>
        <w:t xml:space="preserve"> </w:t>
      </w:r>
      <w:r w:rsidR="006A2723" w:rsidRPr="006A2723">
        <w:rPr>
          <w:sz w:val="24"/>
        </w:rPr>
        <w:t>1,3</w:t>
      </w:r>
      <w:r w:rsidR="000E15D3" w:rsidRPr="006A2723">
        <w:rPr>
          <w:sz w:val="24"/>
        </w:rPr>
        <w:t xml:space="preserve"> p.p. comparativ cu rata inflației din aceeași perioadă a anului 201</w:t>
      </w:r>
      <w:r w:rsidR="006A2723" w:rsidRPr="006A2723">
        <w:rPr>
          <w:sz w:val="24"/>
        </w:rPr>
        <w:t>8</w:t>
      </w:r>
      <w:r w:rsidR="000E15D3" w:rsidRPr="006A2723">
        <w:rPr>
          <w:sz w:val="24"/>
        </w:rPr>
        <w:t xml:space="preserve">. </w:t>
      </w:r>
      <w:r w:rsidR="000E15D3" w:rsidRPr="006A2723">
        <w:rPr>
          <w:sz w:val="24"/>
          <w:szCs w:val="24"/>
        </w:rPr>
        <w:t xml:space="preserve">Rata </w:t>
      </w:r>
      <w:r w:rsidR="0000166B" w:rsidRPr="006A2723">
        <w:rPr>
          <w:sz w:val="24"/>
          <w:szCs w:val="24"/>
        </w:rPr>
        <w:t xml:space="preserve">anuală </w:t>
      </w:r>
      <w:r w:rsidR="0000166B">
        <w:rPr>
          <w:sz w:val="24"/>
          <w:szCs w:val="24"/>
        </w:rPr>
        <w:t xml:space="preserve">a </w:t>
      </w:r>
      <w:proofErr w:type="spellStart"/>
      <w:r w:rsidR="000E15D3" w:rsidRPr="006A2723">
        <w:rPr>
          <w:sz w:val="24"/>
          <w:szCs w:val="24"/>
        </w:rPr>
        <w:t>inflaţiei</w:t>
      </w:r>
      <w:proofErr w:type="spellEnd"/>
      <w:r w:rsidR="000E15D3" w:rsidRPr="006A2723">
        <w:rPr>
          <w:sz w:val="24"/>
          <w:szCs w:val="24"/>
        </w:rPr>
        <w:t xml:space="preserve"> a </w:t>
      </w:r>
      <w:r w:rsidR="006A2723" w:rsidRPr="006A2723">
        <w:rPr>
          <w:sz w:val="24"/>
          <w:szCs w:val="24"/>
        </w:rPr>
        <w:t>constituit 2,2%, fiind</w:t>
      </w:r>
      <w:r w:rsidR="000E15D3" w:rsidRPr="006A2723">
        <w:rPr>
          <w:sz w:val="24"/>
          <w:szCs w:val="24"/>
        </w:rPr>
        <w:t xml:space="preserve"> sub nivelul </w:t>
      </w:r>
      <w:proofErr w:type="spellStart"/>
      <w:r w:rsidR="000E15D3" w:rsidRPr="006A2723">
        <w:rPr>
          <w:sz w:val="24"/>
          <w:szCs w:val="24"/>
        </w:rPr>
        <w:t>ţintă</w:t>
      </w:r>
      <w:proofErr w:type="spellEnd"/>
      <w:r w:rsidR="000E15D3" w:rsidRPr="006A2723">
        <w:rPr>
          <w:sz w:val="24"/>
          <w:szCs w:val="24"/>
        </w:rPr>
        <w:t xml:space="preserve"> a </w:t>
      </w:r>
      <w:proofErr w:type="spellStart"/>
      <w:r w:rsidR="000E15D3" w:rsidRPr="006A2723">
        <w:rPr>
          <w:sz w:val="24"/>
          <w:szCs w:val="24"/>
        </w:rPr>
        <w:t>inflaţiei</w:t>
      </w:r>
      <w:proofErr w:type="spellEnd"/>
      <w:r w:rsidR="000E15D3" w:rsidRPr="006A2723">
        <w:rPr>
          <w:sz w:val="24"/>
          <w:szCs w:val="24"/>
        </w:rPr>
        <w:t xml:space="preserve"> stabilit de Banca Națională a Moldovei (5% +/- 1,5%). </w:t>
      </w:r>
    </w:p>
    <w:p w:rsidR="000E15D3" w:rsidRPr="006A2723" w:rsidRDefault="000E15D3" w:rsidP="000E15D3">
      <w:pPr>
        <w:tabs>
          <w:tab w:val="left" w:pos="1701"/>
        </w:tabs>
        <w:jc w:val="both"/>
        <w:rPr>
          <w:sz w:val="24"/>
          <w:szCs w:val="24"/>
        </w:rPr>
      </w:pPr>
    </w:p>
    <w:p w:rsidR="00667A84" w:rsidRPr="006A2723" w:rsidRDefault="000E15D3" w:rsidP="000E15D3">
      <w:pPr>
        <w:jc w:val="both"/>
        <w:rPr>
          <w:bCs/>
          <w:sz w:val="24"/>
          <w:szCs w:val="24"/>
        </w:rPr>
      </w:pPr>
      <w:r w:rsidRPr="006A2723">
        <w:rPr>
          <w:b/>
          <w:bCs/>
          <w:sz w:val="24"/>
          <w:szCs w:val="24"/>
        </w:rPr>
        <w:t xml:space="preserve">Leul moldovenesc s-a </w:t>
      </w:r>
      <w:r w:rsidR="006A2723">
        <w:rPr>
          <w:b/>
          <w:bCs/>
          <w:sz w:val="24"/>
          <w:szCs w:val="24"/>
        </w:rPr>
        <w:t>a</w:t>
      </w:r>
      <w:r w:rsidRPr="006A2723">
        <w:rPr>
          <w:b/>
          <w:bCs/>
          <w:sz w:val="24"/>
          <w:szCs w:val="24"/>
        </w:rPr>
        <w:t xml:space="preserve">preciat ușor față de dolar SUA, dar </w:t>
      </w:r>
      <w:r w:rsidR="006A2723">
        <w:rPr>
          <w:b/>
          <w:bCs/>
          <w:sz w:val="24"/>
          <w:szCs w:val="24"/>
        </w:rPr>
        <w:t>s-a</w:t>
      </w:r>
      <w:r w:rsidRPr="006A2723">
        <w:rPr>
          <w:b/>
          <w:bCs/>
          <w:sz w:val="24"/>
          <w:szCs w:val="24"/>
        </w:rPr>
        <w:t xml:space="preserve"> </w:t>
      </w:r>
      <w:r w:rsidR="006A2723">
        <w:rPr>
          <w:b/>
          <w:bCs/>
          <w:sz w:val="24"/>
          <w:szCs w:val="24"/>
        </w:rPr>
        <w:t>de</w:t>
      </w:r>
      <w:r w:rsidRPr="006A2723">
        <w:rPr>
          <w:b/>
          <w:bCs/>
          <w:sz w:val="24"/>
          <w:szCs w:val="24"/>
        </w:rPr>
        <w:t>preci</w:t>
      </w:r>
      <w:r w:rsidR="006A2723">
        <w:rPr>
          <w:b/>
          <w:bCs/>
          <w:sz w:val="24"/>
          <w:szCs w:val="24"/>
        </w:rPr>
        <w:t>at</w:t>
      </w:r>
      <w:r w:rsidRPr="006A2723">
        <w:rPr>
          <w:b/>
          <w:bCs/>
          <w:sz w:val="24"/>
          <w:szCs w:val="24"/>
        </w:rPr>
        <w:t xml:space="preserve"> față de Euro.</w:t>
      </w:r>
      <w:r w:rsidRPr="006A2723">
        <w:rPr>
          <w:bCs/>
          <w:sz w:val="24"/>
          <w:szCs w:val="24"/>
        </w:rPr>
        <w:t xml:space="preserve"> </w:t>
      </w:r>
      <w:r w:rsidR="00687866">
        <w:rPr>
          <w:bCs/>
          <w:sz w:val="24"/>
          <w:szCs w:val="24"/>
        </w:rPr>
        <w:t>M</w:t>
      </w:r>
      <w:r w:rsidR="00667A84" w:rsidRPr="006A2723">
        <w:rPr>
          <w:bCs/>
          <w:sz w:val="24"/>
          <w:szCs w:val="24"/>
        </w:rPr>
        <w:t>oneda naţională a marcat o apreciere de 0,3% faţă de dolarul SUA în termeni nominali (de la 17,14 lei pentru 1 dolar american la 01.01.2019 pînă la 17,10 lei la 31.01.2019). Faţă de Euro leul moldovenesc s-a depreciat cu 0,</w:t>
      </w:r>
      <w:r w:rsidR="007F7316">
        <w:rPr>
          <w:bCs/>
          <w:sz w:val="24"/>
          <w:szCs w:val="24"/>
        </w:rPr>
        <w:t>2</w:t>
      </w:r>
      <w:r w:rsidR="00667A84" w:rsidRPr="006A2723">
        <w:rPr>
          <w:bCs/>
          <w:sz w:val="24"/>
          <w:szCs w:val="24"/>
        </w:rPr>
        <w:t xml:space="preserve">%. Stocul activelor valutare de rezervă ale BNM la 31.01.2019 a atins o valoare de 2908,6 mil. dolari, micșorîndu-se cu 2,9% comparativ cu nivelul înregistrat la </w:t>
      </w:r>
      <w:proofErr w:type="spellStart"/>
      <w:r w:rsidR="00667A84" w:rsidRPr="006A2723">
        <w:rPr>
          <w:bCs/>
          <w:sz w:val="24"/>
          <w:szCs w:val="24"/>
        </w:rPr>
        <w:t>sfîrşitul</w:t>
      </w:r>
      <w:proofErr w:type="spellEnd"/>
      <w:r w:rsidR="00667A84" w:rsidRPr="006A2723">
        <w:rPr>
          <w:bCs/>
          <w:sz w:val="24"/>
          <w:szCs w:val="24"/>
        </w:rPr>
        <w:t xml:space="preserve"> anului 2018</w:t>
      </w:r>
      <w:r w:rsidR="00687866">
        <w:rPr>
          <w:bCs/>
          <w:sz w:val="24"/>
          <w:szCs w:val="24"/>
        </w:rPr>
        <w:t xml:space="preserve">, dar fiind </w:t>
      </w:r>
      <w:r w:rsidR="00687866" w:rsidRPr="006A2723">
        <w:rPr>
          <w:bCs/>
          <w:sz w:val="24"/>
          <w:szCs w:val="24"/>
        </w:rPr>
        <w:t>cu 0,2%</w:t>
      </w:r>
      <w:r w:rsidR="00687866">
        <w:rPr>
          <w:bCs/>
          <w:sz w:val="24"/>
          <w:szCs w:val="24"/>
        </w:rPr>
        <w:t xml:space="preserve"> peste nivelul din</w:t>
      </w:r>
      <w:r w:rsidR="00667A84" w:rsidRPr="006A2723">
        <w:rPr>
          <w:bCs/>
          <w:sz w:val="24"/>
          <w:szCs w:val="24"/>
        </w:rPr>
        <w:t xml:space="preserve"> 31.01.2018. </w:t>
      </w:r>
    </w:p>
    <w:p w:rsidR="00CE0905" w:rsidRPr="0026490C" w:rsidRDefault="00CE0905" w:rsidP="20A081F4">
      <w:pPr>
        <w:jc w:val="both"/>
        <w:rPr>
          <w:sz w:val="24"/>
          <w:szCs w:val="24"/>
        </w:rPr>
      </w:pPr>
    </w:p>
    <w:p w:rsidR="009C0BC6" w:rsidRPr="0026490C" w:rsidRDefault="002A3C7C" w:rsidP="009C0BC6">
      <w:pPr>
        <w:jc w:val="both"/>
        <w:rPr>
          <w:sz w:val="24"/>
          <w:szCs w:val="24"/>
        </w:rPr>
      </w:pPr>
      <w:r w:rsidRPr="0026490C">
        <w:rPr>
          <w:b/>
          <w:color w:val="000000"/>
          <w:sz w:val="24"/>
        </w:rPr>
        <w:t>Masa monetară M3</w:t>
      </w:r>
      <w:r w:rsidRPr="0026490C">
        <w:rPr>
          <w:color w:val="000000"/>
          <w:sz w:val="24"/>
        </w:rPr>
        <w:t xml:space="preserve"> la </w:t>
      </w:r>
      <w:proofErr w:type="spellStart"/>
      <w:r w:rsidRPr="0026490C">
        <w:rPr>
          <w:color w:val="000000"/>
          <w:sz w:val="24"/>
        </w:rPr>
        <w:t>sfîrşitul</w:t>
      </w:r>
      <w:proofErr w:type="spellEnd"/>
      <w:r w:rsidRPr="0026490C">
        <w:rPr>
          <w:color w:val="000000"/>
          <w:sz w:val="24"/>
        </w:rPr>
        <w:t xml:space="preserve"> lunii </w:t>
      </w:r>
      <w:r w:rsidR="0026490C" w:rsidRPr="0026490C">
        <w:rPr>
          <w:color w:val="000000"/>
          <w:sz w:val="24"/>
        </w:rPr>
        <w:t>ianua</w:t>
      </w:r>
      <w:r w:rsidR="00717007" w:rsidRPr="0026490C">
        <w:rPr>
          <w:color w:val="000000"/>
          <w:sz w:val="24"/>
        </w:rPr>
        <w:t>rie</w:t>
      </w:r>
      <w:r w:rsidRPr="0026490C">
        <w:rPr>
          <w:color w:val="000000"/>
          <w:sz w:val="24"/>
        </w:rPr>
        <w:t xml:space="preserve"> 201</w:t>
      </w:r>
      <w:r w:rsidR="0026490C" w:rsidRPr="0026490C">
        <w:rPr>
          <w:color w:val="000000"/>
          <w:sz w:val="24"/>
        </w:rPr>
        <w:t>9</w:t>
      </w:r>
      <w:r w:rsidRPr="0026490C">
        <w:rPr>
          <w:color w:val="000000"/>
          <w:sz w:val="24"/>
        </w:rPr>
        <w:t xml:space="preserve"> a constituit circa </w:t>
      </w:r>
      <w:r w:rsidR="00595B8E" w:rsidRPr="0026490C">
        <w:rPr>
          <w:color w:val="000000"/>
          <w:sz w:val="24"/>
        </w:rPr>
        <w:t>8</w:t>
      </w:r>
      <w:r w:rsidR="0026490C" w:rsidRPr="0026490C">
        <w:rPr>
          <w:color w:val="000000"/>
          <w:sz w:val="24"/>
        </w:rPr>
        <w:t>2</w:t>
      </w:r>
      <w:r w:rsidR="003026E4" w:rsidRPr="0026490C">
        <w:rPr>
          <w:color w:val="000000"/>
          <w:sz w:val="24"/>
        </w:rPr>
        <w:t>,</w:t>
      </w:r>
      <w:r w:rsidR="00595B8E" w:rsidRPr="0026490C">
        <w:rPr>
          <w:color w:val="000000"/>
          <w:sz w:val="24"/>
        </w:rPr>
        <w:t>2</w:t>
      </w:r>
      <w:r w:rsidRPr="0026490C">
        <w:rPr>
          <w:color w:val="000000"/>
          <w:sz w:val="24"/>
        </w:rPr>
        <w:t xml:space="preserve"> mild. lei şi s-a majorat cu </w:t>
      </w:r>
      <w:r w:rsidR="0026490C" w:rsidRPr="0026490C">
        <w:rPr>
          <w:color w:val="000000"/>
          <w:sz w:val="24"/>
        </w:rPr>
        <w:t>6,6</w:t>
      </w:r>
      <w:r w:rsidRPr="0026490C">
        <w:rPr>
          <w:color w:val="000000"/>
          <w:sz w:val="24"/>
        </w:rPr>
        <w:t xml:space="preserve">% comparativ cu </w:t>
      </w:r>
      <w:proofErr w:type="spellStart"/>
      <w:r w:rsidRPr="0026490C">
        <w:rPr>
          <w:color w:val="000000"/>
          <w:sz w:val="24"/>
          <w:szCs w:val="24"/>
        </w:rPr>
        <w:t>sfîrșitul</w:t>
      </w:r>
      <w:proofErr w:type="spellEnd"/>
      <w:r w:rsidRPr="0026490C">
        <w:rPr>
          <w:color w:val="000000"/>
          <w:sz w:val="24"/>
          <w:szCs w:val="24"/>
        </w:rPr>
        <w:t xml:space="preserve"> lunii </w:t>
      </w:r>
      <w:r w:rsidR="0026490C" w:rsidRPr="0026490C">
        <w:rPr>
          <w:color w:val="000000"/>
          <w:sz w:val="24"/>
          <w:szCs w:val="24"/>
        </w:rPr>
        <w:t>ianua</w:t>
      </w:r>
      <w:r w:rsidR="00717007" w:rsidRPr="0026490C">
        <w:rPr>
          <w:color w:val="000000"/>
          <w:sz w:val="24"/>
          <w:szCs w:val="24"/>
        </w:rPr>
        <w:t>rie</w:t>
      </w:r>
      <w:r w:rsidRPr="0026490C">
        <w:rPr>
          <w:color w:val="000000"/>
          <w:sz w:val="24"/>
          <w:szCs w:val="24"/>
        </w:rPr>
        <w:t xml:space="preserve"> a anului </w:t>
      </w:r>
      <w:r w:rsidR="00624A05" w:rsidRPr="0026490C">
        <w:rPr>
          <w:color w:val="000000"/>
          <w:sz w:val="24"/>
          <w:szCs w:val="24"/>
        </w:rPr>
        <w:t>201</w:t>
      </w:r>
      <w:r w:rsidR="0026490C" w:rsidRPr="0026490C">
        <w:rPr>
          <w:color w:val="000000"/>
          <w:sz w:val="24"/>
          <w:szCs w:val="24"/>
        </w:rPr>
        <w:t>8</w:t>
      </w:r>
      <w:r w:rsidRPr="0026490C">
        <w:rPr>
          <w:color w:val="000000"/>
          <w:sz w:val="24"/>
        </w:rPr>
        <w:t>.</w:t>
      </w:r>
      <w:r w:rsidRPr="0026490C">
        <w:rPr>
          <w:color w:val="000000"/>
          <w:sz w:val="24"/>
          <w:szCs w:val="24"/>
        </w:rPr>
        <w:t xml:space="preserve"> Evoluţia masei monetare M3 a fost determinată </w:t>
      </w:r>
      <w:r w:rsidR="00F25EDA" w:rsidRPr="0026490C">
        <w:rPr>
          <w:color w:val="000000"/>
          <w:sz w:val="24"/>
          <w:szCs w:val="24"/>
        </w:rPr>
        <w:t xml:space="preserve">preponderent </w:t>
      </w:r>
      <w:r w:rsidRPr="0026490C">
        <w:rPr>
          <w:color w:val="000000"/>
          <w:sz w:val="24"/>
          <w:szCs w:val="24"/>
        </w:rPr>
        <w:t xml:space="preserve">de majorarea cu </w:t>
      </w:r>
      <w:r w:rsidR="0026490C" w:rsidRPr="0026490C">
        <w:rPr>
          <w:color w:val="000000"/>
          <w:sz w:val="24"/>
          <w:szCs w:val="24"/>
        </w:rPr>
        <w:t>6,1</w:t>
      </w:r>
      <w:r w:rsidRPr="0026490C">
        <w:rPr>
          <w:color w:val="000000"/>
          <w:sz w:val="24"/>
          <w:szCs w:val="24"/>
        </w:rPr>
        <w:t>% a volumului depozitelor în monedă naţională</w:t>
      </w:r>
      <w:r w:rsidR="009C0BC6" w:rsidRPr="0026490C">
        <w:rPr>
          <w:sz w:val="24"/>
          <w:szCs w:val="24"/>
        </w:rPr>
        <w:t xml:space="preserve">. </w:t>
      </w:r>
      <w:r w:rsidR="00D44374" w:rsidRPr="0026490C">
        <w:rPr>
          <w:color w:val="000000"/>
          <w:sz w:val="24"/>
          <w:szCs w:val="24"/>
        </w:rPr>
        <w:t>Situația în domeniul creditării se îmbunătățește: v</w:t>
      </w:r>
      <w:r w:rsidR="0010632A" w:rsidRPr="0026490C">
        <w:rPr>
          <w:sz w:val="24"/>
          <w:szCs w:val="24"/>
        </w:rPr>
        <w:t xml:space="preserve">olumul creditelor </w:t>
      </w:r>
      <w:r w:rsidR="00023878">
        <w:rPr>
          <w:sz w:val="24"/>
          <w:szCs w:val="24"/>
        </w:rPr>
        <w:t xml:space="preserve">noi </w:t>
      </w:r>
      <w:r w:rsidR="0010632A" w:rsidRPr="0026490C">
        <w:rPr>
          <w:sz w:val="24"/>
          <w:szCs w:val="24"/>
        </w:rPr>
        <w:t xml:space="preserve">acordate în </w:t>
      </w:r>
      <w:r w:rsidR="00595B8E" w:rsidRPr="0026490C">
        <w:rPr>
          <w:sz w:val="24"/>
          <w:szCs w:val="24"/>
        </w:rPr>
        <w:t>lei</w:t>
      </w:r>
      <w:r w:rsidR="0010632A" w:rsidRPr="0026490C">
        <w:rPr>
          <w:sz w:val="24"/>
          <w:szCs w:val="24"/>
        </w:rPr>
        <w:t xml:space="preserve"> </w:t>
      </w:r>
      <w:r w:rsidR="005C57AA" w:rsidRPr="0026490C">
        <w:rPr>
          <w:sz w:val="24"/>
          <w:szCs w:val="24"/>
        </w:rPr>
        <w:t xml:space="preserve">în luna </w:t>
      </w:r>
      <w:r w:rsidR="0026490C" w:rsidRPr="0026490C">
        <w:rPr>
          <w:sz w:val="24"/>
          <w:szCs w:val="24"/>
        </w:rPr>
        <w:t>ianua</w:t>
      </w:r>
      <w:r w:rsidR="005C57AA" w:rsidRPr="0026490C">
        <w:rPr>
          <w:sz w:val="24"/>
          <w:szCs w:val="24"/>
        </w:rPr>
        <w:t>rie 201</w:t>
      </w:r>
      <w:r w:rsidR="0026490C" w:rsidRPr="0026490C">
        <w:rPr>
          <w:sz w:val="24"/>
          <w:szCs w:val="24"/>
        </w:rPr>
        <w:t>9</w:t>
      </w:r>
      <w:r w:rsidR="00DC0F1B" w:rsidRPr="0026490C">
        <w:rPr>
          <w:sz w:val="24"/>
          <w:szCs w:val="24"/>
        </w:rPr>
        <w:t xml:space="preserve"> </w:t>
      </w:r>
      <w:r w:rsidR="0010632A" w:rsidRPr="0026490C">
        <w:rPr>
          <w:sz w:val="24"/>
          <w:szCs w:val="24"/>
        </w:rPr>
        <w:t xml:space="preserve">a înregistrat o </w:t>
      </w:r>
      <w:r w:rsidR="00EB16B2" w:rsidRPr="0026490C">
        <w:rPr>
          <w:sz w:val="24"/>
          <w:szCs w:val="24"/>
        </w:rPr>
        <w:t>majora</w:t>
      </w:r>
      <w:r w:rsidR="0010632A" w:rsidRPr="0026490C">
        <w:rPr>
          <w:sz w:val="24"/>
          <w:szCs w:val="24"/>
        </w:rPr>
        <w:t xml:space="preserve">re </w:t>
      </w:r>
      <w:r w:rsidR="0026490C" w:rsidRPr="0026490C">
        <w:rPr>
          <w:sz w:val="24"/>
          <w:szCs w:val="24"/>
        </w:rPr>
        <w:t>cu</w:t>
      </w:r>
      <w:r w:rsidR="0010632A" w:rsidRPr="0026490C">
        <w:rPr>
          <w:sz w:val="24"/>
          <w:szCs w:val="24"/>
        </w:rPr>
        <w:t xml:space="preserve"> circa </w:t>
      </w:r>
      <w:r w:rsidR="0026490C" w:rsidRPr="0026490C">
        <w:rPr>
          <w:sz w:val="24"/>
          <w:szCs w:val="24"/>
        </w:rPr>
        <w:t>38,8%</w:t>
      </w:r>
      <w:r w:rsidR="005C57AA" w:rsidRPr="0026490C">
        <w:rPr>
          <w:sz w:val="24"/>
          <w:szCs w:val="24"/>
        </w:rPr>
        <w:t xml:space="preserve"> </w:t>
      </w:r>
      <w:r w:rsidR="005C57AA" w:rsidRPr="00023878">
        <w:rPr>
          <w:sz w:val="24"/>
          <w:szCs w:val="24"/>
        </w:rPr>
        <w:t xml:space="preserve">față de </w:t>
      </w:r>
      <w:r w:rsidR="00687866" w:rsidRPr="00023878">
        <w:rPr>
          <w:sz w:val="24"/>
          <w:szCs w:val="24"/>
        </w:rPr>
        <w:t>ianuarie</w:t>
      </w:r>
      <w:r w:rsidR="005C57AA" w:rsidRPr="00023878">
        <w:rPr>
          <w:sz w:val="24"/>
          <w:szCs w:val="24"/>
        </w:rPr>
        <w:t xml:space="preserve"> 201</w:t>
      </w:r>
      <w:r w:rsidR="00687866" w:rsidRPr="00023878">
        <w:rPr>
          <w:sz w:val="24"/>
          <w:szCs w:val="24"/>
        </w:rPr>
        <w:t>8</w:t>
      </w:r>
      <w:r w:rsidR="0010632A" w:rsidRPr="00023878">
        <w:rPr>
          <w:sz w:val="24"/>
          <w:szCs w:val="24"/>
        </w:rPr>
        <w:t>.</w:t>
      </w:r>
    </w:p>
    <w:p w:rsidR="009C0BC6" w:rsidRPr="0026490C" w:rsidRDefault="009C0BC6" w:rsidP="002A3C7C">
      <w:pPr>
        <w:jc w:val="both"/>
        <w:rPr>
          <w:color w:val="000000"/>
          <w:sz w:val="24"/>
          <w:szCs w:val="24"/>
        </w:rPr>
      </w:pPr>
    </w:p>
    <w:p w:rsidR="00F91AD2" w:rsidRPr="009E7931" w:rsidRDefault="009E7931" w:rsidP="20A081F4">
      <w:pPr>
        <w:jc w:val="both"/>
        <w:rPr>
          <w:sz w:val="24"/>
          <w:szCs w:val="24"/>
        </w:rPr>
      </w:pPr>
      <w:r w:rsidRPr="009E7931">
        <w:rPr>
          <w:b/>
          <w:bCs/>
          <w:sz w:val="24"/>
          <w:szCs w:val="24"/>
        </w:rPr>
        <w:t>Luna ianuarie a anului 2019</w:t>
      </w:r>
      <w:r w:rsidR="005F488E" w:rsidRPr="009E7931">
        <w:rPr>
          <w:b/>
          <w:bCs/>
          <w:sz w:val="24"/>
          <w:szCs w:val="24"/>
        </w:rPr>
        <w:t xml:space="preserve"> s-a încheiat cu </w:t>
      </w:r>
      <w:r w:rsidRPr="009E7931">
        <w:rPr>
          <w:b/>
          <w:bCs/>
          <w:sz w:val="24"/>
          <w:szCs w:val="24"/>
        </w:rPr>
        <w:t>un excedent de 89,3 mil.lei</w:t>
      </w:r>
      <w:r w:rsidR="005F488E" w:rsidRPr="009E7931">
        <w:rPr>
          <w:b/>
          <w:bCs/>
          <w:sz w:val="24"/>
          <w:szCs w:val="24"/>
        </w:rPr>
        <w:t xml:space="preserve">.  </w:t>
      </w:r>
      <w:r w:rsidR="20A081F4" w:rsidRPr="009E7931">
        <w:rPr>
          <w:sz w:val="24"/>
          <w:szCs w:val="24"/>
        </w:rPr>
        <w:t>În ianuarie</w:t>
      </w:r>
      <w:r w:rsidR="00227437" w:rsidRPr="009E7931">
        <w:rPr>
          <w:sz w:val="24"/>
          <w:szCs w:val="24"/>
        </w:rPr>
        <w:t xml:space="preserve"> 201</w:t>
      </w:r>
      <w:r w:rsidRPr="009E7931">
        <w:rPr>
          <w:sz w:val="24"/>
          <w:szCs w:val="24"/>
        </w:rPr>
        <w:t>9</w:t>
      </w:r>
      <w:r w:rsidR="20A081F4" w:rsidRPr="009E7931">
        <w:rPr>
          <w:sz w:val="24"/>
          <w:szCs w:val="24"/>
        </w:rPr>
        <w:t xml:space="preserve"> la bugetul public național au fost acumulate venituri în sumă de </w:t>
      </w:r>
      <w:r w:rsidR="005F488E" w:rsidRPr="009E7931">
        <w:rPr>
          <w:sz w:val="24"/>
          <w:szCs w:val="24"/>
        </w:rPr>
        <w:t xml:space="preserve">circa </w:t>
      </w:r>
      <w:r w:rsidRPr="009E7931">
        <w:rPr>
          <w:sz w:val="24"/>
          <w:szCs w:val="24"/>
        </w:rPr>
        <w:t>4,2</w:t>
      </w:r>
      <w:r w:rsidR="20A081F4" w:rsidRPr="009E7931">
        <w:rPr>
          <w:sz w:val="24"/>
          <w:szCs w:val="24"/>
        </w:rPr>
        <w:t xml:space="preserve"> mil</w:t>
      </w:r>
      <w:r w:rsidR="007B5DE1">
        <w:rPr>
          <w:sz w:val="24"/>
          <w:szCs w:val="24"/>
        </w:rPr>
        <w:t>d</w:t>
      </w:r>
      <w:r w:rsidR="20A081F4" w:rsidRPr="009E7931">
        <w:rPr>
          <w:sz w:val="24"/>
          <w:szCs w:val="24"/>
        </w:rPr>
        <w:t>.</w:t>
      </w:r>
      <w:r w:rsidR="007B5DE1">
        <w:rPr>
          <w:sz w:val="24"/>
          <w:szCs w:val="24"/>
        </w:rPr>
        <w:t xml:space="preserve"> </w:t>
      </w:r>
      <w:r w:rsidR="20A081F4" w:rsidRPr="009E7931">
        <w:rPr>
          <w:sz w:val="24"/>
          <w:szCs w:val="24"/>
        </w:rPr>
        <w:t xml:space="preserve">lei </w:t>
      </w:r>
      <w:r w:rsidR="006E3A39" w:rsidRPr="009E7931">
        <w:rPr>
          <w:sz w:val="24"/>
          <w:szCs w:val="24"/>
        </w:rPr>
        <w:t>(</w:t>
      </w:r>
      <w:r w:rsidR="20A081F4" w:rsidRPr="009E7931">
        <w:rPr>
          <w:sz w:val="24"/>
          <w:szCs w:val="24"/>
        </w:rPr>
        <w:t xml:space="preserve">cu </w:t>
      </w:r>
      <w:r w:rsidR="005F488E" w:rsidRPr="009E7931">
        <w:rPr>
          <w:sz w:val="24"/>
          <w:szCs w:val="24"/>
        </w:rPr>
        <w:t>8,</w:t>
      </w:r>
      <w:r w:rsidRPr="009E7931">
        <w:rPr>
          <w:sz w:val="24"/>
          <w:szCs w:val="24"/>
        </w:rPr>
        <w:t>8</w:t>
      </w:r>
      <w:r w:rsidR="20A081F4" w:rsidRPr="009E7931">
        <w:rPr>
          <w:sz w:val="24"/>
          <w:szCs w:val="24"/>
        </w:rPr>
        <w:t>% mai mult faţă de ianuarie 201</w:t>
      </w:r>
      <w:r w:rsidRPr="009E7931">
        <w:rPr>
          <w:sz w:val="24"/>
          <w:szCs w:val="24"/>
        </w:rPr>
        <w:t>8</w:t>
      </w:r>
      <w:r w:rsidR="006E3A39" w:rsidRPr="009E7931">
        <w:rPr>
          <w:sz w:val="24"/>
          <w:szCs w:val="24"/>
        </w:rPr>
        <w:t>) și c</w:t>
      </w:r>
      <w:r w:rsidR="20A081F4" w:rsidRPr="009E7931">
        <w:rPr>
          <w:sz w:val="24"/>
          <w:szCs w:val="24"/>
        </w:rPr>
        <w:t>heltuieli</w:t>
      </w:r>
      <w:r w:rsidR="006E3A39" w:rsidRPr="009E7931">
        <w:rPr>
          <w:sz w:val="24"/>
          <w:szCs w:val="24"/>
        </w:rPr>
        <w:t xml:space="preserve"> </w:t>
      </w:r>
      <w:r w:rsidR="005D1E3F" w:rsidRPr="009E7931">
        <w:rPr>
          <w:sz w:val="24"/>
          <w:szCs w:val="24"/>
        </w:rPr>
        <w:t>–</w:t>
      </w:r>
      <w:r w:rsidR="20A081F4" w:rsidRPr="009E7931">
        <w:rPr>
          <w:sz w:val="24"/>
          <w:szCs w:val="24"/>
        </w:rPr>
        <w:t xml:space="preserve"> </w:t>
      </w:r>
      <w:r w:rsidRPr="009E7931">
        <w:rPr>
          <w:sz w:val="24"/>
          <w:szCs w:val="24"/>
        </w:rPr>
        <w:t>4,1</w:t>
      </w:r>
      <w:r w:rsidR="20A081F4" w:rsidRPr="009E7931">
        <w:rPr>
          <w:sz w:val="24"/>
          <w:szCs w:val="24"/>
        </w:rPr>
        <w:t xml:space="preserve"> </w:t>
      </w:r>
      <w:proofErr w:type="spellStart"/>
      <w:r w:rsidR="20A081F4" w:rsidRPr="009E7931">
        <w:rPr>
          <w:sz w:val="24"/>
          <w:szCs w:val="24"/>
        </w:rPr>
        <w:t>mil</w:t>
      </w:r>
      <w:r w:rsidR="007B5DE1">
        <w:rPr>
          <w:sz w:val="24"/>
          <w:szCs w:val="24"/>
        </w:rPr>
        <w:t>d</w:t>
      </w:r>
      <w:r w:rsidR="20A081F4" w:rsidRPr="009E7931">
        <w:rPr>
          <w:sz w:val="24"/>
          <w:szCs w:val="24"/>
        </w:rPr>
        <w:t>.lei</w:t>
      </w:r>
      <w:proofErr w:type="spellEnd"/>
      <w:r w:rsidR="00227437" w:rsidRPr="009E7931">
        <w:rPr>
          <w:sz w:val="24"/>
          <w:szCs w:val="24"/>
        </w:rPr>
        <w:t xml:space="preserve"> </w:t>
      </w:r>
      <w:r w:rsidR="006E3A39" w:rsidRPr="009E7931">
        <w:rPr>
          <w:sz w:val="24"/>
          <w:szCs w:val="24"/>
        </w:rPr>
        <w:t>(</w:t>
      </w:r>
      <w:r w:rsidR="00227437" w:rsidRPr="009E7931">
        <w:rPr>
          <w:sz w:val="24"/>
          <w:szCs w:val="24"/>
        </w:rPr>
        <w:t xml:space="preserve">mai </w:t>
      </w:r>
      <w:r w:rsidR="00135190" w:rsidRPr="009E7931">
        <w:rPr>
          <w:sz w:val="24"/>
          <w:szCs w:val="24"/>
        </w:rPr>
        <w:t>mult</w:t>
      </w:r>
      <w:r w:rsidR="00227437" w:rsidRPr="009E7931">
        <w:rPr>
          <w:sz w:val="24"/>
          <w:szCs w:val="24"/>
        </w:rPr>
        <w:t xml:space="preserve"> cu</w:t>
      </w:r>
      <w:r w:rsidR="20A081F4" w:rsidRPr="009E7931">
        <w:rPr>
          <w:sz w:val="24"/>
          <w:szCs w:val="24"/>
        </w:rPr>
        <w:t xml:space="preserve"> </w:t>
      </w:r>
      <w:r w:rsidRPr="009E7931">
        <w:rPr>
          <w:sz w:val="24"/>
          <w:szCs w:val="24"/>
        </w:rPr>
        <w:t>23,9</w:t>
      </w:r>
      <w:r w:rsidR="20A081F4" w:rsidRPr="009E7931">
        <w:rPr>
          <w:sz w:val="24"/>
          <w:szCs w:val="24"/>
        </w:rPr>
        <w:t>%</w:t>
      </w:r>
      <w:r w:rsidR="006E3A39" w:rsidRPr="009E7931">
        <w:rPr>
          <w:sz w:val="24"/>
          <w:szCs w:val="24"/>
        </w:rPr>
        <w:t>)</w:t>
      </w:r>
      <w:r w:rsidR="20A081F4" w:rsidRPr="009E7931">
        <w:rPr>
          <w:sz w:val="24"/>
          <w:szCs w:val="24"/>
        </w:rPr>
        <w:t>.</w:t>
      </w:r>
      <w:r w:rsidR="00382249" w:rsidRPr="009E7931">
        <w:rPr>
          <w:sz w:val="24"/>
          <w:szCs w:val="24"/>
        </w:rPr>
        <w:t xml:space="preserve"> Cea mai mare parte din cheltuieli sunt direcționate spre protecția </w:t>
      </w:r>
      <w:r w:rsidR="006E3A39" w:rsidRPr="009E7931">
        <w:rPr>
          <w:sz w:val="24"/>
          <w:szCs w:val="24"/>
        </w:rPr>
        <w:t xml:space="preserve">socială, dar cea mai mică </w:t>
      </w:r>
      <w:r w:rsidR="00382249" w:rsidRPr="009E7931">
        <w:rPr>
          <w:sz w:val="24"/>
          <w:szCs w:val="24"/>
        </w:rPr>
        <w:t xml:space="preserve">– spre protecția mediului. </w:t>
      </w:r>
    </w:p>
    <w:p w:rsidR="00BD3C0C" w:rsidRPr="00667A84" w:rsidRDefault="00BD3C0C" w:rsidP="00BD3C0C">
      <w:pPr>
        <w:jc w:val="both"/>
        <w:rPr>
          <w:bCs/>
          <w:iCs/>
          <w:sz w:val="24"/>
          <w:szCs w:val="24"/>
          <w:u w:val="single"/>
        </w:rPr>
      </w:pPr>
    </w:p>
    <w:p w:rsidR="0058358A" w:rsidRPr="0058358A" w:rsidRDefault="0058358A" w:rsidP="0058358A">
      <w:pPr>
        <w:jc w:val="both"/>
        <w:rPr>
          <w:sz w:val="24"/>
          <w:szCs w:val="24"/>
        </w:rPr>
      </w:pPr>
      <w:r w:rsidRPr="0058358A">
        <w:rPr>
          <w:b/>
          <w:sz w:val="24"/>
          <w:szCs w:val="24"/>
        </w:rPr>
        <w:t>Valoarea totală a datoriei de stat administrată de Guvern la 31 ianuarie 2019 a constituit circa 52,2 mild. lei</w:t>
      </w:r>
      <w:r w:rsidRPr="0058358A">
        <w:rPr>
          <w:sz w:val="24"/>
          <w:szCs w:val="24"/>
        </w:rPr>
        <w:t>, în creștere cu 0,9% față de data similară a anului 2018. Datoria de stat internă s-a majorat cu 2,6%, iar datoria de stat externă s-a diminuat cu 2,7%. Deși pare destul de înalt, nivelul de îndatorare a țării se încadrează în parametrii de risc stipulați în Programul Managementul datoriei de stat pe termen mediu (2019-2021).</w:t>
      </w:r>
    </w:p>
    <w:p w:rsidR="00E00D4F" w:rsidRPr="00667A84" w:rsidRDefault="00E00D4F" w:rsidP="000F5CC9">
      <w:pPr>
        <w:jc w:val="both"/>
        <w:rPr>
          <w:b/>
          <w:sz w:val="24"/>
          <w:szCs w:val="24"/>
          <w:u w:val="single"/>
        </w:rPr>
      </w:pPr>
    </w:p>
    <w:p w:rsidR="00117310" w:rsidRPr="005F6215" w:rsidRDefault="00117310" w:rsidP="00117310">
      <w:pPr>
        <w:jc w:val="both"/>
        <w:rPr>
          <w:sz w:val="24"/>
          <w:szCs w:val="24"/>
        </w:rPr>
      </w:pPr>
      <w:r w:rsidRPr="005F6215">
        <w:rPr>
          <w:b/>
          <w:bCs/>
          <w:sz w:val="24"/>
          <w:szCs w:val="24"/>
        </w:rPr>
        <w:t xml:space="preserve">Gradul de dependenţă a economiei naţionale de exterior </w:t>
      </w:r>
      <w:proofErr w:type="spellStart"/>
      <w:r w:rsidRPr="005F6215">
        <w:rPr>
          <w:b/>
          <w:bCs/>
          <w:sz w:val="24"/>
          <w:szCs w:val="24"/>
        </w:rPr>
        <w:t>rămîne</w:t>
      </w:r>
      <w:proofErr w:type="spellEnd"/>
      <w:r w:rsidRPr="005F6215">
        <w:rPr>
          <w:b/>
          <w:bCs/>
          <w:sz w:val="24"/>
          <w:szCs w:val="24"/>
        </w:rPr>
        <w:t xml:space="preserve"> înalt.</w:t>
      </w:r>
      <w:r w:rsidRPr="005F6215">
        <w:rPr>
          <w:sz w:val="24"/>
          <w:szCs w:val="24"/>
        </w:rPr>
        <w:t xml:space="preserve"> Conform datelor preliminare ale </w:t>
      </w:r>
      <w:proofErr w:type="spellStart"/>
      <w:r w:rsidRPr="005F6215">
        <w:rPr>
          <w:sz w:val="24"/>
          <w:szCs w:val="24"/>
        </w:rPr>
        <w:t>Balanţei</w:t>
      </w:r>
      <w:proofErr w:type="spellEnd"/>
      <w:r w:rsidRPr="005F6215">
        <w:rPr>
          <w:sz w:val="24"/>
          <w:szCs w:val="24"/>
        </w:rPr>
        <w:t xml:space="preserve"> de </w:t>
      </w:r>
      <w:proofErr w:type="spellStart"/>
      <w:r w:rsidRPr="005F6215">
        <w:rPr>
          <w:sz w:val="24"/>
          <w:szCs w:val="24"/>
        </w:rPr>
        <w:t>plăţi</w:t>
      </w:r>
      <w:proofErr w:type="spellEnd"/>
      <w:r w:rsidRPr="005F6215">
        <w:rPr>
          <w:sz w:val="24"/>
          <w:szCs w:val="24"/>
        </w:rPr>
        <w:t xml:space="preserve"> pentru ianuarie-septembrie 2018, deficitul contului curent a constituit 10% în raport cu PIB, transferurile persoanelor fizice (compensarea pentru muncă şi transferurile personale) – 16,3%, acumularea netă de pasive la investițiile străine directe – 2,1%, </w:t>
      </w:r>
      <w:proofErr w:type="spellStart"/>
      <w:r w:rsidRPr="005F6215">
        <w:rPr>
          <w:sz w:val="24"/>
          <w:szCs w:val="24"/>
        </w:rPr>
        <w:t>balanţa</w:t>
      </w:r>
      <w:proofErr w:type="spellEnd"/>
      <w:r w:rsidRPr="005F6215">
        <w:rPr>
          <w:sz w:val="24"/>
          <w:szCs w:val="24"/>
        </w:rPr>
        <w:t xml:space="preserve"> negativă a bunurilor şi serviciilor – 25,3%.</w:t>
      </w:r>
    </w:p>
    <w:p w:rsidR="006B5661" w:rsidRPr="00667A84" w:rsidRDefault="006B5661" w:rsidP="000F5CC9">
      <w:pPr>
        <w:jc w:val="both"/>
        <w:rPr>
          <w:b/>
          <w:sz w:val="24"/>
          <w:szCs w:val="24"/>
          <w:u w:val="single"/>
        </w:rPr>
      </w:pPr>
    </w:p>
    <w:p w:rsidR="00A713E6" w:rsidRPr="00DD102B" w:rsidRDefault="00DE522C" w:rsidP="003562A4">
      <w:pPr>
        <w:jc w:val="both"/>
        <w:rPr>
          <w:color w:val="000000" w:themeColor="text1"/>
          <w:sz w:val="24"/>
          <w:szCs w:val="24"/>
        </w:rPr>
      </w:pPr>
      <w:r>
        <w:rPr>
          <w:b/>
          <w:bCs/>
          <w:color w:val="000000" w:themeColor="text1"/>
          <w:sz w:val="24"/>
          <w:szCs w:val="24"/>
        </w:rPr>
        <w:t xml:space="preserve">Importurile </w:t>
      </w:r>
      <w:r w:rsidR="009062A6">
        <w:rPr>
          <w:b/>
          <w:bCs/>
          <w:color w:val="000000" w:themeColor="text1"/>
          <w:sz w:val="24"/>
          <w:szCs w:val="24"/>
        </w:rPr>
        <w:t>de bunuri au avut un ritm de creștere mai mare decît exporturile</w:t>
      </w:r>
      <w:r w:rsidR="00DD102B" w:rsidRPr="00DD102B">
        <w:rPr>
          <w:b/>
          <w:bCs/>
          <w:color w:val="000000" w:themeColor="text1"/>
          <w:sz w:val="24"/>
          <w:szCs w:val="24"/>
        </w:rPr>
        <w:t xml:space="preserve">. </w:t>
      </w:r>
      <w:r w:rsidR="00DD102B" w:rsidRPr="00DD102B">
        <w:rPr>
          <w:color w:val="000000" w:themeColor="text1"/>
          <w:sz w:val="24"/>
          <w:szCs w:val="24"/>
        </w:rPr>
        <w:t xml:space="preserve">În ianuarie-decembrie 2018 exporturile s-au majorat cu 11,6%, iar importurile - cu 19,3%. Soldul negativ al </w:t>
      </w:r>
      <w:proofErr w:type="spellStart"/>
      <w:r w:rsidR="00DD102B" w:rsidRPr="00DD102B">
        <w:rPr>
          <w:color w:val="000000" w:themeColor="text1"/>
          <w:sz w:val="24"/>
          <w:szCs w:val="24"/>
        </w:rPr>
        <w:t>balanţei</w:t>
      </w:r>
      <w:proofErr w:type="spellEnd"/>
      <w:r w:rsidR="00DD102B" w:rsidRPr="00DD102B">
        <w:rPr>
          <w:color w:val="000000" w:themeColor="text1"/>
          <w:sz w:val="24"/>
          <w:szCs w:val="24"/>
        </w:rPr>
        <w:t xml:space="preserve"> comerciale a constituit 3057,3 </w:t>
      </w:r>
      <w:proofErr w:type="spellStart"/>
      <w:r w:rsidR="00DD102B" w:rsidRPr="00DD102B">
        <w:rPr>
          <w:color w:val="000000" w:themeColor="text1"/>
          <w:sz w:val="24"/>
          <w:szCs w:val="24"/>
        </w:rPr>
        <w:t>mil.dolari</w:t>
      </w:r>
      <w:proofErr w:type="spellEnd"/>
      <w:r w:rsidR="00DD102B" w:rsidRPr="00DD102B">
        <w:rPr>
          <w:color w:val="000000" w:themeColor="text1"/>
          <w:sz w:val="24"/>
          <w:szCs w:val="24"/>
        </w:rPr>
        <w:t xml:space="preserve"> SUA, faţă de 2406,3 </w:t>
      </w:r>
      <w:proofErr w:type="spellStart"/>
      <w:r w:rsidR="00DD102B" w:rsidRPr="00DD102B">
        <w:rPr>
          <w:color w:val="000000" w:themeColor="text1"/>
          <w:sz w:val="24"/>
          <w:szCs w:val="24"/>
        </w:rPr>
        <w:t>mil.dolari</w:t>
      </w:r>
      <w:proofErr w:type="spellEnd"/>
      <w:r w:rsidR="00DD102B" w:rsidRPr="00DD102B">
        <w:rPr>
          <w:color w:val="000000" w:themeColor="text1"/>
          <w:sz w:val="24"/>
          <w:szCs w:val="24"/>
        </w:rPr>
        <w:t xml:space="preserve"> în ianuarie-decembrie 2017. Gradul de acoperire a importurilor cu exporturi în ianuarie-decembrie 2018 a constituit 47%, fiind mai mic cu 3,2 p.p. decît cel înregistrat în aceeași perioadă a anului 2017.</w:t>
      </w:r>
    </w:p>
    <w:p w:rsidR="00DD102B" w:rsidRPr="00667A84" w:rsidRDefault="00DD102B" w:rsidP="003562A4">
      <w:pPr>
        <w:jc w:val="both"/>
        <w:rPr>
          <w:bCs/>
          <w:color w:val="000000" w:themeColor="text1"/>
          <w:sz w:val="24"/>
          <w:szCs w:val="24"/>
          <w:u w:val="single"/>
        </w:rPr>
      </w:pPr>
    </w:p>
    <w:p w:rsidR="00526E6C" w:rsidRPr="00526E6C" w:rsidRDefault="00526E6C" w:rsidP="00526E6C">
      <w:pPr>
        <w:shd w:val="clear" w:color="auto" w:fill="FFFFFF"/>
        <w:jc w:val="both"/>
        <w:textAlignment w:val="baseline"/>
        <w:rPr>
          <w:rFonts w:ascii="Calibri Light" w:hAnsi="Calibri Light"/>
          <w:sz w:val="24"/>
          <w:szCs w:val="24"/>
          <w:lang w:eastAsia="x-none"/>
        </w:rPr>
      </w:pPr>
      <w:r w:rsidRPr="00CD63FF">
        <w:rPr>
          <w:b/>
          <w:color w:val="000000" w:themeColor="text1"/>
          <w:sz w:val="24"/>
          <w:szCs w:val="24"/>
        </w:rPr>
        <w:t>Sectorul industrial a înregistrat o creștere de 3,7% în anul 2018.</w:t>
      </w:r>
      <w:r w:rsidRPr="00CD63FF">
        <w:rPr>
          <w:color w:val="000000" w:themeColor="text1"/>
          <w:sz w:val="24"/>
          <w:szCs w:val="24"/>
        </w:rPr>
        <w:t xml:space="preserve"> Industria prelucrătoare, ce ocupă o cotă de circa 82% din sector, s-a majorat cu 2,8%. A fost în creștere și sectorul energetic (+7,4%), și industria extractivă (+9,9%).</w:t>
      </w:r>
      <w:r w:rsidRPr="00CD63FF">
        <w:rPr>
          <w:rFonts w:ascii="Calibri Light" w:hAnsi="Calibri Light"/>
          <w:sz w:val="24"/>
          <w:szCs w:val="24"/>
          <w:lang w:eastAsia="x-none"/>
        </w:rPr>
        <w:t xml:space="preserve"> </w:t>
      </w:r>
      <w:r w:rsidRPr="00526E6C">
        <w:rPr>
          <w:sz w:val="24"/>
          <w:szCs w:val="24"/>
        </w:rPr>
        <w:t xml:space="preserve">Creșterea sectorului industrial a fost susținută de extinderea activității </w:t>
      </w:r>
      <w:r w:rsidRPr="00526E6C">
        <w:rPr>
          <w:sz w:val="24"/>
          <w:szCs w:val="24"/>
        </w:rPr>
        <w:lastRenderedPageBreak/>
        <w:t xml:space="preserve">Zonelor Economice Libere, în special în ramura industriei </w:t>
      </w:r>
      <w:proofErr w:type="spellStart"/>
      <w:r w:rsidRPr="00526E6C">
        <w:rPr>
          <w:sz w:val="24"/>
          <w:szCs w:val="24"/>
        </w:rPr>
        <w:t>automotive</w:t>
      </w:r>
      <w:proofErr w:type="spellEnd"/>
      <w:r w:rsidRPr="00526E6C">
        <w:rPr>
          <w:sz w:val="24"/>
          <w:szCs w:val="24"/>
        </w:rPr>
        <w:t>, creșterea cererii externe și interne față de produsele autohtone, valorificarea oportunităților oferite de acordurile de cooperare economică internațională, precum și revigorarea sectorului construcțiilor.</w:t>
      </w:r>
    </w:p>
    <w:p w:rsidR="00526E6C" w:rsidRPr="00667A84" w:rsidRDefault="00526E6C" w:rsidP="00526E6C">
      <w:pPr>
        <w:shd w:val="clear" w:color="auto" w:fill="FFFFFF"/>
        <w:jc w:val="both"/>
        <w:textAlignment w:val="baseline"/>
        <w:rPr>
          <w:color w:val="000000" w:themeColor="text1"/>
          <w:sz w:val="24"/>
          <w:szCs w:val="24"/>
          <w:u w:val="single"/>
        </w:rPr>
      </w:pPr>
    </w:p>
    <w:p w:rsidR="00526E6C" w:rsidRPr="00705F52" w:rsidRDefault="00526E6C" w:rsidP="00526E6C">
      <w:pPr>
        <w:jc w:val="both"/>
        <w:rPr>
          <w:sz w:val="24"/>
          <w:szCs w:val="24"/>
        </w:rPr>
      </w:pPr>
      <w:r w:rsidRPr="00705F52">
        <w:rPr>
          <w:b/>
          <w:bCs/>
          <w:sz w:val="24"/>
          <w:szCs w:val="24"/>
        </w:rPr>
        <w:t xml:space="preserve">După 2 ani </w:t>
      </w:r>
      <w:r>
        <w:rPr>
          <w:b/>
          <w:bCs/>
          <w:sz w:val="24"/>
          <w:szCs w:val="24"/>
        </w:rPr>
        <w:t>de creștere consecutivă</w:t>
      </w:r>
      <w:r w:rsidRPr="00705F52">
        <w:rPr>
          <w:b/>
          <w:bCs/>
          <w:sz w:val="24"/>
          <w:szCs w:val="24"/>
        </w:rPr>
        <w:t xml:space="preserve">, </w:t>
      </w:r>
      <w:r>
        <w:rPr>
          <w:b/>
          <w:bCs/>
          <w:sz w:val="24"/>
          <w:szCs w:val="24"/>
        </w:rPr>
        <w:t xml:space="preserve">sectorul agricol a înregistrat </w:t>
      </w:r>
      <w:r w:rsidR="00AE245E">
        <w:rPr>
          <w:b/>
          <w:bCs/>
          <w:sz w:val="24"/>
          <w:szCs w:val="24"/>
        </w:rPr>
        <w:t>suplimentar</w:t>
      </w:r>
      <w:r>
        <w:rPr>
          <w:b/>
          <w:bCs/>
          <w:sz w:val="24"/>
          <w:szCs w:val="24"/>
        </w:rPr>
        <w:t xml:space="preserve"> o creștere de </w:t>
      </w:r>
      <w:r w:rsidRPr="00705F52">
        <w:rPr>
          <w:b/>
          <w:sz w:val="24"/>
          <w:szCs w:val="24"/>
        </w:rPr>
        <w:t xml:space="preserve">2,5% </w:t>
      </w:r>
      <w:r w:rsidRPr="00705F52">
        <w:rPr>
          <w:sz w:val="24"/>
          <w:szCs w:val="24"/>
        </w:rPr>
        <w:t>(în preţuri comparabile)</w:t>
      </w:r>
      <w:r w:rsidR="00AE245E">
        <w:rPr>
          <w:sz w:val="24"/>
          <w:szCs w:val="24"/>
        </w:rPr>
        <w:t xml:space="preserve"> în anul 2018</w:t>
      </w:r>
      <w:r w:rsidRPr="00705F52">
        <w:rPr>
          <w:sz w:val="24"/>
          <w:szCs w:val="24"/>
        </w:rPr>
        <w:t xml:space="preserve">. </w:t>
      </w:r>
      <w:r w:rsidRPr="00705F52">
        <w:rPr>
          <w:color w:val="000000" w:themeColor="text1"/>
          <w:sz w:val="24"/>
          <w:szCs w:val="24"/>
        </w:rPr>
        <w:t>Majorarea producţiei globale agricole a fost determinată</w:t>
      </w:r>
      <w:r>
        <w:rPr>
          <w:color w:val="000000" w:themeColor="text1"/>
          <w:sz w:val="24"/>
          <w:szCs w:val="24"/>
        </w:rPr>
        <w:t>, în special,</w:t>
      </w:r>
      <w:r w:rsidRPr="00705F52">
        <w:rPr>
          <w:color w:val="000000" w:themeColor="text1"/>
          <w:sz w:val="24"/>
          <w:szCs w:val="24"/>
        </w:rPr>
        <w:t xml:space="preserve"> de creșterea producţiei vegetale – cu 3,8%. </w:t>
      </w:r>
      <w:r>
        <w:rPr>
          <w:color w:val="000000" w:themeColor="text1"/>
          <w:sz w:val="24"/>
          <w:szCs w:val="24"/>
        </w:rPr>
        <w:t xml:space="preserve">Sectorul zootehnic rămâne în declin al doilea an consecutiv, înregistrând în 2018 o scădere de </w:t>
      </w:r>
      <w:r w:rsidRPr="00705F52">
        <w:rPr>
          <w:color w:val="000000" w:themeColor="text1"/>
          <w:sz w:val="24"/>
          <w:szCs w:val="24"/>
        </w:rPr>
        <w:t>1,1%.</w:t>
      </w:r>
      <w:r w:rsidRPr="00705F52">
        <w:t> </w:t>
      </w:r>
    </w:p>
    <w:p w:rsidR="00526E6C" w:rsidRPr="00667A84" w:rsidRDefault="00526E6C" w:rsidP="00526E6C">
      <w:pPr>
        <w:tabs>
          <w:tab w:val="left" w:pos="1701"/>
        </w:tabs>
        <w:jc w:val="both"/>
        <w:rPr>
          <w:sz w:val="24"/>
          <w:szCs w:val="24"/>
          <w:u w:val="single"/>
        </w:rPr>
      </w:pPr>
    </w:p>
    <w:p w:rsidR="00526E6C" w:rsidRDefault="00526E6C" w:rsidP="00526E6C">
      <w:pPr>
        <w:tabs>
          <w:tab w:val="left" w:pos="4130"/>
        </w:tabs>
        <w:jc w:val="both"/>
        <w:rPr>
          <w:sz w:val="24"/>
          <w:szCs w:val="24"/>
        </w:rPr>
      </w:pPr>
      <w:proofErr w:type="spellStart"/>
      <w:r w:rsidRPr="00C90BCC">
        <w:rPr>
          <w:b/>
          <w:bCs/>
          <w:sz w:val="24"/>
          <w:szCs w:val="24"/>
        </w:rPr>
        <w:t>Investițiie</w:t>
      </w:r>
      <w:proofErr w:type="spellEnd"/>
      <w:r w:rsidRPr="00C90BCC">
        <w:rPr>
          <w:b/>
          <w:bCs/>
          <w:sz w:val="24"/>
          <w:szCs w:val="24"/>
        </w:rPr>
        <w:t xml:space="preserve"> în active imobilizate au crescut </w:t>
      </w:r>
      <w:r w:rsidR="00D52BF5">
        <w:rPr>
          <w:b/>
          <w:bCs/>
          <w:sz w:val="24"/>
          <w:szCs w:val="24"/>
        </w:rPr>
        <w:t>semnificativ</w:t>
      </w:r>
      <w:r w:rsidRPr="00C90BCC">
        <w:rPr>
          <w:b/>
          <w:bCs/>
          <w:sz w:val="24"/>
          <w:szCs w:val="24"/>
        </w:rPr>
        <w:t>, datorită intensificării investițiilor publice.</w:t>
      </w:r>
      <w:r w:rsidRPr="00C90BCC">
        <w:rPr>
          <w:sz w:val="24"/>
          <w:szCs w:val="24"/>
        </w:rPr>
        <w:t xml:space="preserve"> În </w:t>
      </w:r>
      <w:r w:rsidRPr="00C90BCC">
        <w:rPr>
          <w:sz w:val="24"/>
        </w:rPr>
        <w:t xml:space="preserve">anul 2018 </w:t>
      </w:r>
      <w:r w:rsidRPr="00C90BCC">
        <w:rPr>
          <w:sz w:val="24"/>
          <w:szCs w:val="24"/>
        </w:rPr>
        <w:t>volumul</w:t>
      </w:r>
      <w:r w:rsidR="00D52BF5">
        <w:rPr>
          <w:sz w:val="24"/>
          <w:szCs w:val="24"/>
        </w:rPr>
        <w:t xml:space="preserve"> investițiilor s-</w:t>
      </w:r>
      <w:r w:rsidR="00D52BF5" w:rsidRPr="00D52BF5">
        <w:rPr>
          <w:sz w:val="24"/>
          <w:szCs w:val="24"/>
        </w:rPr>
        <w:t>a majorat cu 12</w:t>
      </w:r>
      <w:r w:rsidRPr="00D52BF5">
        <w:rPr>
          <w:sz w:val="24"/>
          <w:szCs w:val="24"/>
        </w:rPr>
        <w:t>,</w:t>
      </w:r>
      <w:r w:rsidR="00D52BF5" w:rsidRPr="00D52BF5">
        <w:rPr>
          <w:sz w:val="24"/>
          <w:szCs w:val="24"/>
        </w:rPr>
        <w:t>3</w:t>
      </w:r>
      <w:r w:rsidRPr="00D52BF5">
        <w:rPr>
          <w:sz w:val="24"/>
          <w:szCs w:val="24"/>
        </w:rPr>
        <w:t xml:space="preserve">% faţă de </w:t>
      </w:r>
      <w:r w:rsidRPr="00D52BF5">
        <w:rPr>
          <w:sz w:val="24"/>
        </w:rPr>
        <w:t>aceeași perioadă a anului precedent</w:t>
      </w:r>
      <w:r w:rsidR="00D52BF5" w:rsidRPr="00D52BF5">
        <w:rPr>
          <w:sz w:val="24"/>
          <w:szCs w:val="24"/>
        </w:rPr>
        <w:t>, însumând circa 24</w:t>
      </w:r>
      <w:r w:rsidRPr="00D52BF5">
        <w:rPr>
          <w:sz w:val="24"/>
          <w:szCs w:val="24"/>
        </w:rPr>
        <w:t>,</w:t>
      </w:r>
      <w:r w:rsidR="00D52BF5" w:rsidRPr="00D52BF5">
        <w:rPr>
          <w:sz w:val="24"/>
          <w:szCs w:val="24"/>
        </w:rPr>
        <w:t>2</w:t>
      </w:r>
      <w:r w:rsidRPr="00D52BF5">
        <w:rPr>
          <w:sz w:val="24"/>
          <w:szCs w:val="24"/>
        </w:rPr>
        <w:t xml:space="preserve"> mild. lei. </w:t>
      </w:r>
      <w:r w:rsidR="00D52BF5" w:rsidRPr="00D52BF5">
        <w:rPr>
          <w:sz w:val="24"/>
          <w:szCs w:val="24"/>
        </w:rPr>
        <w:t>Creșterea</w:t>
      </w:r>
      <w:r w:rsidR="00D52BF5">
        <w:rPr>
          <w:sz w:val="24"/>
          <w:szCs w:val="24"/>
        </w:rPr>
        <w:t xml:space="preserve"> intensivă a investițiilor publice, îmbunătățirea situației creditare a economiei naționale, precum și evoluția în creștere a investițiilor agenților economici au determinat creşterea activităţii investiţionale din țară în anul 2018.</w:t>
      </w:r>
    </w:p>
    <w:p w:rsidR="00D52BF5" w:rsidRPr="00667A84" w:rsidRDefault="00D52BF5" w:rsidP="00526E6C">
      <w:pPr>
        <w:tabs>
          <w:tab w:val="left" w:pos="4130"/>
        </w:tabs>
        <w:jc w:val="both"/>
        <w:rPr>
          <w:u w:val="single"/>
        </w:rPr>
      </w:pPr>
    </w:p>
    <w:p w:rsidR="00526E6C" w:rsidRPr="00D65388" w:rsidRDefault="00526E6C" w:rsidP="00526E6C">
      <w:pPr>
        <w:jc w:val="both"/>
        <w:rPr>
          <w:sz w:val="24"/>
          <w:szCs w:val="24"/>
        </w:rPr>
      </w:pPr>
      <w:r w:rsidRPr="00D65388">
        <w:rPr>
          <w:b/>
          <w:bCs/>
          <w:sz w:val="24"/>
          <w:szCs w:val="24"/>
        </w:rPr>
        <w:t>Volumul serviciilor de transport a fost în creștere în anul 2018.</w:t>
      </w:r>
      <w:r w:rsidRPr="00D65388">
        <w:rPr>
          <w:sz w:val="24"/>
          <w:szCs w:val="24"/>
        </w:rPr>
        <w:t xml:space="preserve"> Întreprinderile de transport feroviar, rutier, fluvial şi aerian au transportat circa 19,4 mil. tone de mărfuri sau cu 10% mai mult faţă de aceeași perioadă a anului trecut. Creșteri ale volumului de mărfuri transportate au fost înregistrate în cazul transportului aerian – cu 25,2%, transportului rutier – cu 12,8%, transportului feroviar – cu 2,8%. Transportul fluvial a înregistrat o diminuare a volumului  mărfurilor transportate cu 5,8%.</w:t>
      </w:r>
    </w:p>
    <w:p w:rsidR="00526E6C" w:rsidRPr="00667A84" w:rsidRDefault="00526E6C" w:rsidP="00526E6C">
      <w:pPr>
        <w:jc w:val="both"/>
        <w:rPr>
          <w:sz w:val="24"/>
          <w:szCs w:val="24"/>
          <w:u w:val="single"/>
        </w:rPr>
      </w:pPr>
    </w:p>
    <w:p w:rsidR="00526E6C" w:rsidRPr="00213205" w:rsidRDefault="00526E6C" w:rsidP="00526E6C">
      <w:pPr>
        <w:jc w:val="both"/>
        <w:rPr>
          <w:color w:val="000000" w:themeColor="text1"/>
          <w:sz w:val="24"/>
          <w:szCs w:val="24"/>
        </w:rPr>
      </w:pPr>
      <w:proofErr w:type="spellStart"/>
      <w:r w:rsidRPr="00213205">
        <w:rPr>
          <w:b/>
          <w:bCs/>
          <w:color w:val="000000" w:themeColor="text1"/>
          <w:sz w:val="24"/>
          <w:szCs w:val="24"/>
        </w:rPr>
        <w:t>Comerţul</w:t>
      </w:r>
      <w:proofErr w:type="spellEnd"/>
      <w:r w:rsidRPr="00213205">
        <w:rPr>
          <w:b/>
          <w:bCs/>
          <w:color w:val="000000" w:themeColor="text1"/>
          <w:sz w:val="24"/>
          <w:szCs w:val="24"/>
        </w:rPr>
        <w:t xml:space="preserve"> interior de bunuri și servicii a fost în creștere în 2018, ceea ce demonstrează o intensificare a consumului din partea populației și agenților economici. </w:t>
      </w:r>
      <w:r w:rsidRPr="00213205">
        <w:rPr>
          <w:color w:val="000000" w:themeColor="text1"/>
          <w:sz w:val="24"/>
          <w:szCs w:val="24"/>
        </w:rPr>
        <w:t xml:space="preserve">Volumul cifrei de afaceri în </w:t>
      </w:r>
      <w:proofErr w:type="spellStart"/>
      <w:r w:rsidRPr="00213205">
        <w:rPr>
          <w:color w:val="000000" w:themeColor="text1"/>
          <w:sz w:val="24"/>
          <w:szCs w:val="24"/>
        </w:rPr>
        <w:t>comerţul</w:t>
      </w:r>
      <w:proofErr w:type="spellEnd"/>
      <w:r w:rsidRPr="00213205">
        <w:rPr>
          <w:color w:val="000000" w:themeColor="text1"/>
          <w:sz w:val="24"/>
          <w:szCs w:val="24"/>
        </w:rPr>
        <w:t xml:space="preserve"> cu amănuntul a crescut cu 7,6% faţă de anul precedent, iar volumul cifrei de afaceri în servicii de </w:t>
      </w:r>
      <w:proofErr w:type="spellStart"/>
      <w:r w:rsidRPr="00213205">
        <w:rPr>
          <w:color w:val="000000" w:themeColor="text1"/>
          <w:sz w:val="24"/>
          <w:szCs w:val="24"/>
        </w:rPr>
        <w:t>piaţă</w:t>
      </w:r>
      <w:proofErr w:type="spellEnd"/>
      <w:r w:rsidRPr="00213205">
        <w:rPr>
          <w:color w:val="000000" w:themeColor="text1"/>
          <w:sz w:val="24"/>
          <w:szCs w:val="24"/>
        </w:rPr>
        <w:t xml:space="preserve"> prestate populaţiei - cu 10,9%. </w:t>
      </w:r>
    </w:p>
    <w:p w:rsidR="00D70786" w:rsidRPr="00667A84" w:rsidRDefault="00D70786" w:rsidP="00980633">
      <w:pPr>
        <w:jc w:val="both"/>
        <w:rPr>
          <w:b/>
          <w:sz w:val="26"/>
          <w:szCs w:val="26"/>
          <w:u w:val="single"/>
        </w:rPr>
      </w:pPr>
    </w:p>
    <w:p w:rsidR="005F6215" w:rsidRPr="00C32986" w:rsidRDefault="005F6215" w:rsidP="005F6215">
      <w:pPr>
        <w:jc w:val="both"/>
        <w:rPr>
          <w:bCs/>
          <w:color w:val="000000" w:themeColor="text1"/>
          <w:sz w:val="24"/>
          <w:szCs w:val="24"/>
          <w:shd w:val="clear" w:color="auto" w:fill="FFFFFF"/>
        </w:rPr>
      </w:pPr>
      <w:proofErr w:type="spellStart"/>
      <w:r w:rsidRPr="00C32986">
        <w:rPr>
          <w:b/>
          <w:bCs/>
          <w:color w:val="000000" w:themeColor="text1"/>
          <w:sz w:val="24"/>
          <w:szCs w:val="36"/>
        </w:rPr>
        <w:t>Cîştigul</w:t>
      </w:r>
      <w:proofErr w:type="spellEnd"/>
      <w:r w:rsidRPr="00C32986">
        <w:rPr>
          <w:b/>
          <w:bCs/>
          <w:color w:val="000000" w:themeColor="text1"/>
          <w:sz w:val="24"/>
          <w:szCs w:val="36"/>
        </w:rPr>
        <w:t xml:space="preserve"> </w:t>
      </w:r>
      <w:r w:rsidRPr="00C32986">
        <w:rPr>
          <w:b/>
          <w:bCs/>
          <w:color w:val="000000" w:themeColor="text1"/>
          <w:sz w:val="24"/>
          <w:szCs w:val="24"/>
        </w:rPr>
        <w:t xml:space="preserve">salarial mediu lunar brut </w:t>
      </w:r>
      <w:r w:rsidRPr="00C32986">
        <w:rPr>
          <w:bCs/>
          <w:color w:val="000000" w:themeColor="text1"/>
          <w:sz w:val="24"/>
          <w:szCs w:val="24"/>
        </w:rPr>
        <w:t xml:space="preserve">al unui salariat din economia naţională </w:t>
      </w:r>
      <w:r w:rsidRPr="00C32986">
        <w:rPr>
          <w:bCs/>
          <w:color w:val="000000" w:themeColor="text1"/>
          <w:sz w:val="24"/>
          <w:szCs w:val="36"/>
        </w:rPr>
        <w:t xml:space="preserve">în 2018 a constituit 6446,4 lei şi s-a majorat în termeni nominali cu 13,2% faţă de </w:t>
      </w:r>
      <w:r w:rsidR="00AE245E">
        <w:rPr>
          <w:bCs/>
          <w:color w:val="000000" w:themeColor="text1"/>
          <w:sz w:val="24"/>
          <w:szCs w:val="36"/>
        </w:rPr>
        <w:t>anul</w:t>
      </w:r>
      <w:r w:rsidRPr="00C32986">
        <w:rPr>
          <w:bCs/>
          <w:color w:val="000000" w:themeColor="text1"/>
          <w:sz w:val="24"/>
          <w:szCs w:val="36"/>
        </w:rPr>
        <w:t xml:space="preserve"> 2017. În termeni reali salariul s-a majorat cu 9,9</w:t>
      </w:r>
      <w:r w:rsidRPr="00C32986">
        <w:rPr>
          <w:bCs/>
          <w:color w:val="000000" w:themeColor="text1"/>
          <w:sz w:val="24"/>
          <w:szCs w:val="24"/>
          <w:shd w:val="clear" w:color="auto" w:fill="FFFFFF"/>
        </w:rPr>
        <w:t xml:space="preserve">%. În sfera bugetară </w:t>
      </w:r>
      <w:proofErr w:type="spellStart"/>
      <w:r w:rsidRPr="00C32986">
        <w:rPr>
          <w:bCs/>
          <w:color w:val="000000" w:themeColor="text1"/>
          <w:sz w:val="24"/>
          <w:szCs w:val="24"/>
          <w:shd w:val="clear" w:color="auto" w:fill="FFFFFF"/>
        </w:rPr>
        <w:t>cîştigul</w:t>
      </w:r>
      <w:proofErr w:type="spellEnd"/>
      <w:r w:rsidRPr="00C32986">
        <w:rPr>
          <w:bCs/>
          <w:color w:val="000000" w:themeColor="text1"/>
          <w:sz w:val="24"/>
          <w:szCs w:val="24"/>
          <w:shd w:val="clear" w:color="auto" w:fill="FFFFFF"/>
        </w:rPr>
        <w:t xml:space="preserve"> salarial mediu lunar a constituit </w:t>
      </w:r>
      <w:r>
        <w:rPr>
          <w:bCs/>
          <w:color w:val="000000" w:themeColor="text1"/>
          <w:sz w:val="24"/>
          <w:szCs w:val="24"/>
          <w:shd w:val="clear" w:color="auto" w:fill="FFFFFF"/>
        </w:rPr>
        <w:t>5675,1</w:t>
      </w:r>
      <w:r w:rsidRPr="00C32986">
        <w:rPr>
          <w:bCs/>
          <w:color w:val="000000" w:themeColor="text1"/>
          <w:sz w:val="24"/>
          <w:szCs w:val="24"/>
          <w:shd w:val="clear" w:color="auto" w:fill="FFFFFF"/>
        </w:rPr>
        <w:t xml:space="preserve"> lei, fiind în creștere cu </w:t>
      </w:r>
      <w:r>
        <w:rPr>
          <w:bCs/>
          <w:color w:val="000000" w:themeColor="text1"/>
          <w:sz w:val="24"/>
          <w:szCs w:val="24"/>
          <w:shd w:val="clear" w:color="auto" w:fill="FFFFFF"/>
        </w:rPr>
        <w:t>14,6</w:t>
      </w:r>
      <w:r w:rsidRPr="00C32986">
        <w:rPr>
          <w:bCs/>
          <w:color w:val="000000" w:themeColor="text1"/>
          <w:sz w:val="24"/>
          <w:szCs w:val="24"/>
          <w:shd w:val="clear" w:color="auto" w:fill="FFFFFF"/>
        </w:rPr>
        <w:t xml:space="preserve">% față de 2017, iar în sectorul real – </w:t>
      </w:r>
      <w:r>
        <w:rPr>
          <w:bCs/>
          <w:color w:val="000000" w:themeColor="text1"/>
          <w:sz w:val="24"/>
          <w:szCs w:val="24"/>
          <w:shd w:val="clear" w:color="auto" w:fill="FFFFFF"/>
        </w:rPr>
        <w:t>6748,2</w:t>
      </w:r>
      <w:r w:rsidRPr="00C32986">
        <w:rPr>
          <w:bCs/>
          <w:color w:val="000000" w:themeColor="text1"/>
          <w:sz w:val="24"/>
          <w:szCs w:val="24"/>
          <w:shd w:val="clear" w:color="auto" w:fill="FFFFFF"/>
        </w:rPr>
        <w:t xml:space="preserve"> lei și s-a majorat cu </w:t>
      </w:r>
      <w:r>
        <w:rPr>
          <w:bCs/>
          <w:color w:val="000000" w:themeColor="text1"/>
          <w:sz w:val="24"/>
          <w:szCs w:val="24"/>
          <w:shd w:val="clear" w:color="auto" w:fill="FFFFFF"/>
        </w:rPr>
        <w:t>12,5</w:t>
      </w:r>
      <w:r w:rsidRPr="00C32986">
        <w:rPr>
          <w:bCs/>
          <w:color w:val="000000" w:themeColor="text1"/>
          <w:sz w:val="24"/>
          <w:szCs w:val="24"/>
          <w:shd w:val="clear" w:color="auto" w:fill="FFFFFF"/>
        </w:rPr>
        <w:t>%, respectiv.</w:t>
      </w:r>
    </w:p>
    <w:p w:rsidR="002A26F1" w:rsidRPr="00667A84" w:rsidRDefault="002A26F1" w:rsidP="00062FAA">
      <w:pPr>
        <w:jc w:val="both"/>
        <w:rPr>
          <w:bCs/>
          <w:color w:val="000000" w:themeColor="text1"/>
          <w:sz w:val="24"/>
          <w:szCs w:val="24"/>
          <w:u w:val="single"/>
          <w:shd w:val="clear" w:color="auto" w:fill="FFFFFF"/>
        </w:rPr>
      </w:pPr>
    </w:p>
    <w:p w:rsidR="00062FAA" w:rsidRPr="005F6215" w:rsidRDefault="00BC4789" w:rsidP="20A081F4">
      <w:pPr>
        <w:jc w:val="both"/>
        <w:rPr>
          <w:color w:val="000000" w:themeColor="text1"/>
          <w:sz w:val="24"/>
          <w:szCs w:val="24"/>
        </w:rPr>
      </w:pPr>
      <w:r w:rsidRPr="005F6215">
        <w:rPr>
          <w:b/>
          <w:color w:val="000000" w:themeColor="text1"/>
          <w:sz w:val="24"/>
          <w:szCs w:val="24"/>
        </w:rPr>
        <w:t xml:space="preserve">Cresc veniturile populației </w:t>
      </w:r>
      <w:r w:rsidR="00CE0C37" w:rsidRPr="005F6215">
        <w:rPr>
          <w:b/>
          <w:color w:val="000000" w:themeColor="text1"/>
          <w:sz w:val="24"/>
          <w:szCs w:val="24"/>
        </w:rPr>
        <w:t xml:space="preserve">preponderent </w:t>
      </w:r>
      <w:r w:rsidRPr="005F6215">
        <w:rPr>
          <w:b/>
          <w:color w:val="000000" w:themeColor="text1"/>
          <w:sz w:val="24"/>
          <w:szCs w:val="24"/>
        </w:rPr>
        <w:t xml:space="preserve">din contul prestațiilor sociale. </w:t>
      </w:r>
      <w:r w:rsidR="002A26F1" w:rsidRPr="005F6215">
        <w:rPr>
          <w:color w:val="000000" w:themeColor="text1"/>
          <w:sz w:val="24"/>
          <w:szCs w:val="24"/>
        </w:rPr>
        <w:t xml:space="preserve">Veniturile disponibile lunare ale populaţiei în </w:t>
      </w:r>
      <w:r w:rsidR="00435205" w:rsidRPr="005F6215">
        <w:rPr>
          <w:color w:val="000000" w:themeColor="text1"/>
          <w:sz w:val="24"/>
          <w:szCs w:val="24"/>
        </w:rPr>
        <w:t>tri</w:t>
      </w:r>
      <w:r w:rsidR="002A26F1" w:rsidRPr="005F6215">
        <w:rPr>
          <w:color w:val="000000" w:themeColor="text1"/>
          <w:sz w:val="24"/>
          <w:szCs w:val="24"/>
        </w:rPr>
        <w:t xml:space="preserve">mestrul </w:t>
      </w:r>
      <w:r w:rsidR="00435205" w:rsidRPr="005F6215">
        <w:rPr>
          <w:color w:val="000000" w:themeColor="text1"/>
          <w:sz w:val="24"/>
          <w:szCs w:val="24"/>
        </w:rPr>
        <w:t>I</w:t>
      </w:r>
      <w:r w:rsidR="000C36C0" w:rsidRPr="005F6215">
        <w:rPr>
          <w:color w:val="000000" w:themeColor="text1"/>
          <w:sz w:val="24"/>
          <w:szCs w:val="24"/>
        </w:rPr>
        <w:t>I</w:t>
      </w:r>
      <w:r w:rsidR="00C91A63" w:rsidRPr="005F6215">
        <w:rPr>
          <w:color w:val="000000" w:themeColor="text1"/>
          <w:sz w:val="24"/>
          <w:szCs w:val="24"/>
        </w:rPr>
        <w:t>I</w:t>
      </w:r>
      <w:r w:rsidR="000C36C0" w:rsidRPr="005F6215">
        <w:rPr>
          <w:color w:val="000000" w:themeColor="text1"/>
          <w:sz w:val="24"/>
          <w:szCs w:val="24"/>
        </w:rPr>
        <w:t xml:space="preserve"> 2018 au constituit</w:t>
      </w:r>
      <w:r w:rsidR="002A26F1" w:rsidRPr="005F6215">
        <w:rPr>
          <w:color w:val="000000" w:themeColor="text1"/>
          <w:sz w:val="24"/>
          <w:szCs w:val="24"/>
        </w:rPr>
        <w:t xml:space="preserve"> în medie pe</w:t>
      </w:r>
      <w:r w:rsidR="000C36C0" w:rsidRPr="005F6215">
        <w:rPr>
          <w:color w:val="000000" w:themeColor="text1"/>
          <w:sz w:val="24"/>
          <w:szCs w:val="24"/>
        </w:rPr>
        <w:t xml:space="preserve"> o persoană</w:t>
      </w:r>
      <w:r w:rsidR="002A26F1" w:rsidRPr="005F6215">
        <w:rPr>
          <w:color w:val="000000" w:themeColor="text1"/>
          <w:sz w:val="24"/>
          <w:szCs w:val="24"/>
        </w:rPr>
        <w:t xml:space="preserve"> </w:t>
      </w:r>
      <w:r w:rsidR="008E62B5" w:rsidRPr="005F6215">
        <w:rPr>
          <w:color w:val="000000" w:themeColor="text1"/>
          <w:sz w:val="24"/>
          <w:szCs w:val="24"/>
        </w:rPr>
        <w:t>2412,2</w:t>
      </w:r>
      <w:r w:rsidR="002A26F1" w:rsidRPr="005F6215">
        <w:rPr>
          <w:color w:val="000000" w:themeColor="text1"/>
          <w:sz w:val="24"/>
          <w:szCs w:val="24"/>
        </w:rPr>
        <w:t xml:space="preserve"> lei</w:t>
      </w:r>
      <w:r w:rsidR="000C36C0" w:rsidRPr="005F6215">
        <w:rPr>
          <w:color w:val="000000" w:themeColor="text1"/>
          <w:sz w:val="24"/>
          <w:szCs w:val="24"/>
        </w:rPr>
        <w:t>,</w:t>
      </w:r>
      <w:r w:rsidR="002A26F1" w:rsidRPr="005F6215">
        <w:rPr>
          <w:color w:val="000000" w:themeColor="text1"/>
          <w:sz w:val="24"/>
          <w:szCs w:val="24"/>
        </w:rPr>
        <w:t xml:space="preserve"> </w:t>
      </w:r>
      <w:r w:rsidR="009B733E" w:rsidRPr="005F6215">
        <w:rPr>
          <w:color w:val="000000" w:themeColor="text1"/>
          <w:sz w:val="24"/>
          <w:szCs w:val="24"/>
        </w:rPr>
        <w:t>în c</w:t>
      </w:r>
      <w:r w:rsidR="00EF4AAA" w:rsidRPr="005F6215">
        <w:rPr>
          <w:color w:val="000000" w:themeColor="text1"/>
          <w:sz w:val="24"/>
          <w:szCs w:val="24"/>
        </w:rPr>
        <w:t xml:space="preserve">reștere față de trimestrul </w:t>
      </w:r>
      <w:r w:rsidR="00435205" w:rsidRPr="005F6215">
        <w:rPr>
          <w:color w:val="000000" w:themeColor="text1"/>
          <w:sz w:val="24"/>
          <w:szCs w:val="24"/>
        </w:rPr>
        <w:t>I</w:t>
      </w:r>
      <w:r w:rsidR="008E62B5" w:rsidRPr="005F6215">
        <w:rPr>
          <w:color w:val="000000" w:themeColor="text1"/>
          <w:sz w:val="24"/>
          <w:szCs w:val="24"/>
        </w:rPr>
        <w:t>I</w:t>
      </w:r>
      <w:r w:rsidR="00EF4AAA" w:rsidRPr="005F6215">
        <w:rPr>
          <w:color w:val="000000" w:themeColor="text1"/>
          <w:sz w:val="24"/>
          <w:szCs w:val="24"/>
        </w:rPr>
        <w:t>I 2017</w:t>
      </w:r>
      <w:r w:rsidR="009B733E" w:rsidRPr="005F6215">
        <w:rPr>
          <w:color w:val="000000" w:themeColor="text1"/>
          <w:sz w:val="24"/>
          <w:szCs w:val="24"/>
        </w:rPr>
        <w:t xml:space="preserve"> cu</w:t>
      </w:r>
      <w:r w:rsidR="00EF4AAA" w:rsidRPr="005F6215">
        <w:rPr>
          <w:color w:val="000000" w:themeColor="text1"/>
          <w:sz w:val="24"/>
          <w:szCs w:val="24"/>
        </w:rPr>
        <w:t xml:space="preserve"> </w:t>
      </w:r>
      <w:r w:rsidR="00AB428F">
        <w:rPr>
          <w:color w:val="000000" w:themeColor="text1"/>
          <w:sz w:val="24"/>
          <w:szCs w:val="24"/>
        </w:rPr>
        <w:t>8,5</w:t>
      </w:r>
      <w:r w:rsidR="009B733E" w:rsidRPr="005F6215">
        <w:rPr>
          <w:color w:val="000000" w:themeColor="text1"/>
          <w:sz w:val="24"/>
          <w:szCs w:val="24"/>
        </w:rPr>
        <w:t>% în termeni nominali, iar în termeni reali –</w:t>
      </w:r>
      <w:r w:rsidR="008070C2" w:rsidRPr="005F6215">
        <w:rPr>
          <w:color w:val="000000" w:themeColor="text1"/>
          <w:sz w:val="24"/>
          <w:szCs w:val="24"/>
        </w:rPr>
        <w:t xml:space="preserve"> </w:t>
      </w:r>
      <w:r w:rsidR="00E15E90" w:rsidRPr="005F6215">
        <w:rPr>
          <w:color w:val="000000" w:themeColor="text1"/>
          <w:sz w:val="24"/>
          <w:szCs w:val="24"/>
        </w:rPr>
        <w:t>în creştere</w:t>
      </w:r>
      <w:r w:rsidR="0088497C" w:rsidRPr="005F6215">
        <w:rPr>
          <w:color w:val="000000" w:themeColor="text1"/>
          <w:sz w:val="24"/>
          <w:szCs w:val="24"/>
        </w:rPr>
        <w:t xml:space="preserve"> </w:t>
      </w:r>
      <w:r w:rsidR="009B733E" w:rsidRPr="005F6215">
        <w:rPr>
          <w:color w:val="000000" w:themeColor="text1"/>
          <w:sz w:val="24"/>
          <w:szCs w:val="24"/>
        </w:rPr>
        <w:t>cu</w:t>
      </w:r>
      <w:r w:rsidR="00EF4AAA" w:rsidRPr="005F6215">
        <w:rPr>
          <w:color w:val="000000" w:themeColor="text1"/>
          <w:sz w:val="24"/>
          <w:szCs w:val="24"/>
        </w:rPr>
        <w:t xml:space="preserve"> </w:t>
      </w:r>
      <w:r w:rsidR="00AB428F">
        <w:rPr>
          <w:color w:val="000000" w:themeColor="text1"/>
          <w:sz w:val="24"/>
          <w:szCs w:val="24"/>
        </w:rPr>
        <w:t>5,6</w:t>
      </w:r>
      <w:r w:rsidR="009B733E" w:rsidRPr="005F6215">
        <w:rPr>
          <w:color w:val="000000" w:themeColor="text1"/>
          <w:sz w:val="24"/>
          <w:szCs w:val="24"/>
        </w:rPr>
        <w:t xml:space="preserve">%. Cheltuielile medii lunare de consum </w:t>
      </w:r>
      <w:r w:rsidR="0088497C" w:rsidRPr="005F6215">
        <w:rPr>
          <w:color w:val="000000" w:themeColor="text1"/>
          <w:sz w:val="24"/>
          <w:szCs w:val="24"/>
        </w:rPr>
        <w:t>ale</w:t>
      </w:r>
      <w:r w:rsidR="00E15E90" w:rsidRPr="005F6215">
        <w:rPr>
          <w:color w:val="000000" w:themeColor="text1"/>
          <w:sz w:val="24"/>
          <w:szCs w:val="24"/>
        </w:rPr>
        <w:t xml:space="preserve"> populației </w:t>
      </w:r>
      <w:r w:rsidR="009B733E" w:rsidRPr="005F6215">
        <w:rPr>
          <w:color w:val="000000" w:themeColor="text1"/>
          <w:sz w:val="24"/>
          <w:szCs w:val="24"/>
        </w:rPr>
        <w:t xml:space="preserve">au constituit în medie pe o persoană </w:t>
      </w:r>
      <w:r w:rsidR="008E62B5" w:rsidRPr="005F6215">
        <w:rPr>
          <w:color w:val="000000" w:themeColor="text1"/>
          <w:sz w:val="24"/>
          <w:szCs w:val="24"/>
        </w:rPr>
        <w:t>2437,5</w:t>
      </w:r>
      <w:r w:rsidR="009B733E" w:rsidRPr="005F6215">
        <w:rPr>
          <w:color w:val="000000" w:themeColor="text1"/>
          <w:sz w:val="24"/>
          <w:szCs w:val="24"/>
        </w:rPr>
        <w:t xml:space="preserve"> lei, fiind în cre</w:t>
      </w:r>
      <w:r w:rsidR="00E15E90" w:rsidRPr="005F6215">
        <w:rPr>
          <w:color w:val="000000" w:themeColor="text1"/>
          <w:sz w:val="24"/>
          <w:szCs w:val="24"/>
        </w:rPr>
        <w:t xml:space="preserve">ștere </w:t>
      </w:r>
      <w:r w:rsidR="009B733E" w:rsidRPr="005F6215">
        <w:rPr>
          <w:color w:val="000000" w:themeColor="text1"/>
          <w:sz w:val="24"/>
          <w:szCs w:val="24"/>
        </w:rPr>
        <w:t xml:space="preserve">cu </w:t>
      </w:r>
      <w:r w:rsidR="00AB428F">
        <w:rPr>
          <w:color w:val="000000" w:themeColor="text1"/>
          <w:sz w:val="24"/>
          <w:szCs w:val="24"/>
        </w:rPr>
        <w:t>5,8</w:t>
      </w:r>
      <w:r w:rsidR="009B733E" w:rsidRPr="005F6215">
        <w:rPr>
          <w:color w:val="000000" w:themeColor="text1"/>
          <w:sz w:val="24"/>
          <w:szCs w:val="24"/>
        </w:rPr>
        <w:t>% în termeni no</w:t>
      </w:r>
      <w:r w:rsidR="0057596E" w:rsidRPr="005F6215">
        <w:rPr>
          <w:color w:val="000000" w:themeColor="text1"/>
          <w:sz w:val="24"/>
          <w:szCs w:val="24"/>
        </w:rPr>
        <w:t xml:space="preserve">minali, iar în termeni reali – </w:t>
      </w:r>
      <w:r w:rsidR="009B733E" w:rsidRPr="005F6215">
        <w:rPr>
          <w:color w:val="000000" w:themeColor="text1"/>
          <w:sz w:val="24"/>
          <w:szCs w:val="24"/>
        </w:rPr>
        <w:t>cu</w:t>
      </w:r>
      <w:r w:rsidR="00465DFE" w:rsidRPr="005F6215">
        <w:rPr>
          <w:color w:val="000000" w:themeColor="text1"/>
          <w:sz w:val="24"/>
          <w:szCs w:val="24"/>
        </w:rPr>
        <w:t xml:space="preserve"> </w:t>
      </w:r>
      <w:r w:rsidR="00AB428F">
        <w:rPr>
          <w:color w:val="000000" w:themeColor="text1"/>
          <w:sz w:val="24"/>
          <w:szCs w:val="24"/>
        </w:rPr>
        <w:t>3</w:t>
      </w:r>
      <w:r w:rsidR="00B653D5" w:rsidRPr="005F6215">
        <w:rPr>
          <w:color w:val="000000" w:themeColor="text1"/>
          <w:sz w:val="24"/>
          <w:szCs w:val="24"/>
        </w:rPr>
        <w:t>,</w:t>
      </w:r>
      <w:r w:rsidR="00AB428F">
        <w:rPr>
          <w:color w:val="000000" w:themeColor="text1"/>
          <w:sz w:val="24"/>
          <w:szCs w:val="24"/>
        </w:rPr>
        <w:t>0</w:t>
      </w:r>
      <w:r w:rsidR="009B733E" w:rsidRPr="005F6215">
        <w:rPr>
          <w:color w:val="000000" w:themeColor="text1"/>
          <w:sz w:val="24"/>
          <w:szCs w:val="24"/>
        </w:rPr>
        <w:t xml:space="preserve">%. </w:t>
      </w:r>
      <w:r w:rsidR="00A50A02" w:rsidRPr="005F6215">
        <w:rPr>
          <w:color w:val="000000" w:themeColor="text1"/>
          <w:sz w:val="24"/>
          <w:szCs w:val="24"/>
        </w:rPr>
        <w:t>Aproape jumătate din veniturile sale populația cheltuie pentru procurarea produselor alimentare.</w:t>
      </w:r>
    </w:p>
    <w:p w:rsidR="00062FAA" w:rsidRPr="005F6215" w:rsidRDefault="00062FAA" w:rsidP="20A081F4">
      <w:pPr>
        <w:jc w:val="both"/>
        <w:rPr>
          <w:color w:val="000000"/>
          <w:sz w:val="24"/>
          <w:szCs w:val="24"/>
        </w:rPr>
      </w:pPr>
    </w:p>
    <w:p w:rsidR="005E2293" w:rsidRPr="001B4EC3" w:rsidRDefault="00AB428F" w:rsidP="005E2293">
      <w:pPr>
        <w:jc w:val="both"/>
        <w:rPr>
          <w:sz w:val="24"/>
          <w:szCs w:val="24"/>
        </w:rPr>
      </w:pPr>
      <w:r>
        <w:rPr>
          <w:color w:val="000000"/>
          <w:sz w:val="24"/>
          <w:szCs w:val="24"/>
        </w:rPr>
        <w:t xml:space="preserve">Valoarea medie a </w:t>
      </w:r>
      <w:r w:rsidRPr="00AB428F">
        <w:rPr>
          <w:b/>
          <w:color w:val="000000"/>
          <w:sz w:val="24"/>
          <w:szCs w:val="24"/>
        </w:rPr>
        <w:t xml:space="preserve">pensiei lunare </w:t>
      </w:r>
      <w:r>
        <w:rPr>
          <w:color w:val="000000"/>
          <w:sz w:val="24"/>
          <w:szCs w:val="24"/>
        </w:rPr>
        <w:t xml:space="preserve">la 1 octombrie 2018 a fost 1663,18 lei și s-a majorat cu 11,2% față de aceeași dată a anului 2017 în termeni nominali. </w:t>
      </w:r>
      <w:r w:rsidRPr="00AB428F">
        <w:rPr>
          <w:b/>
          <w:color w:val="000000"/>
          <w:sz w:val="24"/>
          <w:szCs w:val="24"/>
        </w:rPr>
        <w:t xml:space="preserve">Mărimea minimului de existență </w:t>
      </w:r>
      <w:r>
        <w:rPr>
          <w:color w:val="000000"/>
          <w:sz w:val="24"/>
          <w:szCs w:val="24"/>
        </w:rPr>
        <w:t>pentru semestrul I al anului 2018 a constituit în medie pe lună pentru o persoană 1895,7 lei, fiind în creștere față de semestrul I 2017 cu 1,6%.</w:t>
      </w:r>
    </w:p>
    <w:p w:rsidR="00E832A7" w:rsidRPr="00667A84" w:rsidRDefault="00E832A7" w:rsidP="00E832A7">
      <w:pPr>
        <w:jc w:val="both"/>
        <w:rPr>
          <w:color w:val="00B050"/>
          <w:sz w:val="24"/>
          <w:szCs w:val="24"/>
          <w:u w:val="single"/>
        </w:rPr>
      </w:pPr>
    </w:p>
    <w:p w:rsidR="005F6215" w:rsidRPr="00667A84" w:rsidRDefault="005F6215" w:rsidP="005F6215">
      <w:pPr>
        <w:jc w:val="both"/>
        <w:rPr>
          <w:color w:val="000000" w:themeColor="text1"/>
          <w:sz w:val="24"/>
          <w:szCs w:val="24"/>
          <w:u w:val="single"/>
        </w:rPr>
      </w:pPr>
      <w:r w:rsidRPr="00E02BDA">
        <w:rPr>
          <w:color w:val="000000"/>
          <w:sz w:val="24"/>
          <w:szCs w:val="24"/>
        </w:rPr>
        <w:t xml:space="preserve">Rata </w:t>
      </w:r>
      <w:r w:rsidRPr="00E02BDA">
        <w:rPr>
          <w:b/>
          <w:color w:val="000000"/>
          <w:sz w:val="24"/>
          <w:szCs w:val="24"/>
        </w:rPr>
        <w:t>șomajului</w:t>
      </w:r>
      <w:r w:rsidRPr="00E02BDA">
        <w:rPr>
          <w:color w:val="000000"/>
          <w:sz w:val="24"/>
          <w:szCs w:val="24"/>
        </w:rPr>
        <w:t xml:space="preserve"> (proporția șomerilor (conform BIM) în populația activă) la nivel de țară pentru trimestrul III 2018 a înregistrat 2,2%, fiind cu 1,2 p.p. mai joasă față de trimestrul III 2017. </w:t>
      </w:r>
      <w:r w:rsidRPr="00E02BDA">
        <w:rPr>
          <w:color w:val="000000" w:themeColor="text1"/>
          <w:sz w:val="24"/>
          <w:szCs w:val="24"/>
        </w:rPr>
        <w:t>La oficiile forței de muncă în ianuarie 2019 au fost înregistra</w:t>
      </w:r>
      <w:r w:rsidRPr="005F6215">
        <w:rPr>
          <w:color w:val="000000" w:themeColor="text1"/>
          <w:sz w:val="24"/>
          <w:szCs w:val="24"/>
        </w:rPr>
        <w:t>ți circa 3,3 mii șomeri, fiind cu 13</w:t>
      </w:r>
      <w:r w:rsidR="00AB428F">
        <w:rPr>
          <w:color w:val="000000" w:themeColor="text1"/>
          <w:sz w:val="24"/>
          <w:szCs w:val="24"/>
        </w:rPr>
        <w:t>,3</w:t>
      </w:r>
      <w:r w:rsidRPr="005F6215">
        <w:rPr>
          <w:color w:val="000000" w:themeColor="text1"/>
          <w:sz w:val="24"/>
          <w:szCs w:val="24"/>
        </w:rPr>
        <w:t>% mai puțini față de numărul acestora înregistrați în ianuarie 2018.</w:t>
      </w:r>
    </w:p>
    <w:p w:rsidR="005F6215" w:rsidRPr="00667A84" w:rsidRDefault="005F6215" w:rsidP="005F6215">
      <w:pPr>
        <w:jc w:val="both"/>
        <w:rPr>
          <w:color w:val="000000" w:themeColor="text1"/>
          <w:sz w:val="24"/>
          <w:szCs w:val="24"/>
          <w:u w:val="single"/>
        </w:rPr>
      </w:pPr>
    </w:p>
    <w:p w:rsidR="00C020AE" w:rsidRDefault="00C020AE" w:rsidP="20A081F4">
      <w:pPr>
        <w:jc w:val="both"/>
        <w:rPr>
          <w:color w:val="000000" w:themeColor="text1"/>
          <w:sz w:val="24"/>
          <w:szCs w:val="24"/>
          <w:u w:val="single"/>
        </w:rPr>
      </w:pPr>
    </w:p>
    <w:p w:rsidR="005F6215" w:rsidRDefault="005F6215" w:rsidP="20A081F4">
      <w:pPr>
        <w:jc w:val="both"/>
        <w:rPr>
          <w:color w:val="000000" w:themeColor="text1"/>
          <w:sz w:val="24"/>
          <w:szCs w:val="24"/>
          <w:u w:val="single"/>
        </w:rPr>
      </w:pPr>
    </w:p>
    <w:p w:rsidR="00AE245E" w:rsidRDefault="00AE245E" w:rsidP="20A081F4">
      <w:pPr>
        <w:jc w:val="both"/>
        <w:rPr>
          <w:color w:val="000000" w:themeColor="text1"/>
          <w:sz w:val="24"/>
          <w:szCs w:val="24"/>
          <w:u w:val="single"/>
        </w:rPr>
      </w:pPr>
    </w:p>
    <w:p w:rsidR="005F6215" w:rsidRPr="00667A84" w:rsidRDefault="005F6215" w:rsidP="20A081F4">
      <w:pPr>
        <w:jc w:val="both"/>
        <w:rPr>
          <w:color w:val="000000" w:themeColor="text1"/>
          <w:sz w:val="24"/>
          <w:szCs w:val="24"/>
          <w:u w:val="single"/>
        </w:rPr>
      </w:pPr>
    </w:p>
    <w:p w:rsidR="001A36C3" w:rsidRPr="00667A84" w:rsidRDefault="001A36C3" w:rsidP="20A081F4">
      <w:pPr>
        <w:jc w:val="both"/>
        <w:rPr>
          <w:color w:val="000000" w:themeColor="text1"/>
          <w:sz w:val="24"/>
          <w:szCs w:val="24"/>
          <w:u w:val="single"/>
        </w:rPr>
      </w:pPr>
    </w:p>
    <w:p w:rsidR="00C020AE" w:rsidRPr="00667A84" w:rsidRDefault="00C020AE" w:rsidP="20A081F4">
      <w:pPr>
        <w:jc w:val="both"/>
        <w:rPr>
          <w:color w:val="000000" w:themeColor="text1"/>
          <w:sz w:val="24"/>
          <w:szCs w:val="24"/>
          <w:u w:val="single"/>
        </w:rPr>
      </w:pPr>
    </w:p>
    <w:p w:rsidR="002D2ED4" w:rsidRPr="00433308" w:rsidRDefault="20A081F4" w:rsidP="000348C7">
      <w:pPr>
        <w:pStyle w:val="Heading1"/>
        <w:keepNext w:val="0"/>
        <w:numPr>
          <w:ilvl w:val="0"/>
          <w:numId w:val="7"/>
        </w:numPr>
        <w:rPr>
          <w:sz w:val="26"/>
          <w:szCs w:val="26"/>
        </w:rPr>
      </w:pPr>
      <w:r w:rsidRPr="00433308">
        <w:rPr>
          <w:sz w:val="26"/>
          <w:szCs w:val="26"/>
        </w:rPr>
        <w:lastRenderedPageBreak/>
        <w:t>Cadrul macroeconomic</w:t>
      </w:r>
    </w:p>
    <w:p w:rsidR="008649A8" w:rsidRPr="0000166B" w:rsidRDefault="008649A8" w:rsidP="008649A8">
      <w:pPr>
        <w:pStyle w:val="BodyText3"/>
        <w:spacing w:line="240" w:lineRule="auto"/>
        <w:rPr>
          <w:b/>
          <w:bCs/>
        </w:rPr>
      </w:pPr>
      <w:proofErr w:type="spellStart"/>
      <w:r w:rsidRPr="0000166B">
        <w:rPr>
          <w:b/>
          <w:bCs/>
        </w:rPr>
        <w:t>Inflaţia</w:t>
      </w:r>
      <w:proofErr w:type="spellEnd"/>
    </w:p>
    <w:p w:rsidR="008649A8" w:rsidRPr="0000166B" w:rsidRDefault="008649A8" w:rsidP="008649A8">
      <w:pPr>
        <w:pStyle w:val="BodyText3"/>
        <w:spacing w:line="240" w:lineRule="auto"/>
        <w:rPr>
          <w:b/>
        </w:rPr>
      </w:pPr>
    </w:p>
    <w:p w:rsidR="008649A8" w:rsidRPr="001733A9" w:rsidRDefault="008649A8" w:rsidP="008649A8">
      <w:pPr>
        <w:tabs>
          <w:tab w:val="left" w:pos="1701"/>
        </w:tabs>
        <w:jc w:val="both"/>
        <w:rPr>
          <w:sz w:val="24"/>
          <w:szCs w:val="24"/>
        </w:rPr>
      </w:pPr>
      <w:r w:rsidRPr="0000166B">
        <w:rPr>
          <w:sz w:val="24"/>
          <w:szCs w:val="24"/>
        </w:rPr>
        <w:t xml:space="preserve">Asupra modificărilor prețurilor în </w:t>
      </w:r>
      <w:r w:rsidR="000A2156">
        <w:rPr>
          <w:sz w:val="24"/>
          <w:szCs w:val="24"/>
        </w:rPr>
        <w:t xml:space="preserve">ianuarie </w:t>
      </w:r>
      <w:r w:rsidRPr="0000166B">
        <w:rPr>
          <w:sz w:val="24"/>
          <w:szCs w:val="24"/>
        </w:rPr>
        <w:t>201</w:t>
      </w:r>
      <w:r w:rsidR="000A2156">
        <w:rPr>
          <w:sz w:val="24"/>
          <w:szCs w:val="24"/>
        </w:rPr>
        <w:t>9</w:t>
      </w:r>
      <w:r w:rsidRPr="0000166B">
        <w:rPr>
          <w:sz w:val="24"/>
          <w:szCs w:val="24"/>
        </w:rPr>
        <w:t xml:space="preserve"> au influențat factorii monetari (creșterea masei monetare, politica restrictivă a Băncii Naționale a Moldovei</w:t>
      </w:r>
      <w:r w:rsidRPr="001733A9">
        <w:rPr>
          <w:sz w:val="24"/>
          <w:szCs w:val="24"/>
        </w:rPr>
        <w:t>), precum și nemonetari (</w:t>
      </w:r>
      <w:r w:rsidR="007407ED">
        <w:rPr>
          <w:sz w:val="24"/>
          <w:szCs w:val="24"/>
        </w:rPr>
        <w:t>politic</w:t>
      </w:r>
      <w:r w:rsidR="00AE245E">
        <w:rPr>
          <w:sz w:val="24"/>
          <w:szCs w:val="24"/>
        </w:rPr>
        <w:t>a</w:t>
      </w:r>
      <w:r w:rsidR="007407ED">
        <w:rPr>
          <w:sz w:val="24"/>
          <w:szCs w:val="24"/>
        </w:rPr>
        <w:t xml:space="preserve"> fiscal</w:t>
      </w:r>
      <w:r w:rsidR="00AE245E">
        <w:rPr>
          <w:sz w:val="24"/>
          <w:szCs w:val="24"/>
        </w:rPr>
        <w:t>ă</w:t>
      </w:r>
      <w:r w:rsidR="007407ED">
        <w:rPr>
          <w:sz w:val="24"/>
          <w:szCs w:val="24"/>
        </w:rPr>
        <w:t xml:space="preserve">, </w:t>
      </w:r>
      <w:r w:rsidRPr="001733A9">
        <w:rPr>
          <w:sz w:val="24"/>
          <w:szCs w:val="24"/>
        </w:rPr>
        <w:t xml:space="preserve">evoluția cursului de schimb etc.). </w:t>
      </w:r>
    </w:p>
    <w:p w:rsidR="008649A8" w:rsidRPr="00667A84" w:rsidRDefault="008649A8" w:rsidP="008649A8">
      <w:pPr>
        <w:jc w:val="center"/>
        <w:rPr>
          <w:b/>
          <w:i/>
          <w:sz w:val="24"/>
          <w:szCs w:val="24"/>
          <w:u w:val="single"/>
        </w:rPr>
      </w:pPr>
    </w:p>
    <w:p w:rsidR="008649A8" w:rsidRPr="00E44922" w:rsidRDefault="008649A8" w:rsidP="008649A8">
      <w:pPr>
        <w:jc w:val="center"/>
        <w:rPr>
          <w:i/>
          <w:iCs/>
          <w:color w:val="000000" w:themeColor="text1"/>
          <w:sz w:val="24"/>
          <w:szCs w:val="24"/>
        </w:rPr>
      </w:pPr>
      <w:r w:rsidRPr="00E44922">
        <w:rPr>
          <w:b/>
          <w:bCs/>
          <w:i/>
          <w:iCs/>
          <w:color w:val="000000" w:themeColor="text1"/>
          <w:sz w:val="24"/>
          <w:szCs w:val="24"/>
        </w:rPr>
        <w:t xml:space="preserve">Dinamica ratei inflației, </w:t>
      </w:r>
      <w:r w:rsidRPr="00E44922">
        <w:rPr>
          <w:i/>
          <w:iCs/>
          <w:color w:val="000000" w:themeColor="text1"/>
          <w:sz w:val="24"/>
          <w:szCs w:val="24"/>
        </w:rPr>
        <w:t xml:space="preserve">% </w:t>
      </w:r>
    </w:p>
    <w:p w:rsidR="008649A8" w:rsidRPr="00E44922" w:rsidRDefault="008649A8" w:rsidP="008649A8">
      <w:pPr>
        <w:jc w:val="center"/>
        <w:rPr>
          <w:b/>
          <w:bCs/>
          <w:i/>
          <w:iCs/>
          <w:color w:val="000000" w:themeColor="text1"/>
          <w:sz w:val="24"/>
          <w:szCs w:val="24"/>
        </w:rPr>
      </w:pPr>
    </w:p>
    <w:p w:rsidR="008649A8" w:rsidRPr="00E44922" w:rsidRDefault="008649A8" w:rsidP="008649A8">
      <w:pPr>
        <w:jc w:val="both"/>
        <w:rPr>
          <w:i/>
          <w:iCs/>
        </w:rPr>
      </w:pPr>
      <w:r w:rsidRPr="00E44922">
        <w:rPr>
          <w:noProof/>
          <w:lang w:val="en-US" w:eastAsia="en-US"/>
        </w:rPr>
        <w:drawing>
          <wp:inline distT="0" distB="0" distL="0" distR="0" wp14:anchorId="5473BA0F" wp14:editId="76B5B148">
            <wp:extent cx="6164580" cy="1952625"/>
            <wp:effectExtent l="0" t="0" r="762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E44922">
        <w:t xml:space="preserve">               </w:t>
      </w:r>
      <w:r w:rsidRPr="00E44922">
        <w:rPr>
          <w:i/>
          <w:iCs/>
        </w:rPr>
        <w:t>Sursă: Biroul Naţional de Statistică</w:t>
      </w:r>
    </w:p>
    <w:p w:rsidR="008649A8" w:rsidRPr="0000166B" w:rsidRDefault="008649A8" w:rsidP="008649A8">
      <w:pPr>
        <w:jc w:val="both"/>
        <w:rPr>
          <w:b/>
          <w:sz w:val="24"/>
        </w:rPr>
      </w:pPr>
    </w:p>
    <w:p w:rsidR="0000166B" w:rsidRPr="006A2723" w:rsidRDefault="008649A8" w:rsidP="0000166B">
      <w:pPr>
        <w:jc w:val="both"/>
        <w:rPr>
          <w:sz w:val="24"/>
          <w:szCs w:val="24"/>
        </w:rPr>
      </w:pPr>
      <w:r w:rsidRPr="0000166B">
        <w:rPr>
          <w:b/>
          <w:color w:val="000000" w:themeColor="text1"/>
          <w:sz w:val="24"/>
          <w:szCs w:val="24"/>
        </w:rPr>
        <w:t>Rata inflației</w:t>
      </w:r>
      <w:r w:rsidRPr="0000166B">
        <w:rPr>
          <w:color w:val="000000" w:themeColor="text1"/>
          <w:sz w:val="24"/>
          <w:szCs w:val="24"/>
        </w:rPr>
        <w:t xml:space="preserve">, în luna </w:t>
      </w:r>
      <w:r w:rsidR="0000166B" w:rsidRPr="0000166B">
        <w:rPr>
          <w:color w:val="000000" w:themeColor="text1"/>
          <w:sz w:val="24"/>
          <w:szCs w:val="24"/>
        </w:rPr>
        <w:t>ianuarie 2019</w:t>
      </w:r>
      <w:r w:rsidRPr="0000166B">
        <w:rPr>
          <w:color w:val="000000" w:themeColor="text1"/>
          <w:sz w:val="24"/>
          <w:szCs w:val="24"/>
        </w:rPr>
        <w:t xml:space="preserve">, a constituit </w:t>
      </w:r>
      <w:r w:rsidR="0000166B" w:rsidRPr="0000166B">
        <w:rPr>
          <w:color w:val="000000" w:themeColor="text1"/>
          <w:sz w:val="24"/>
          <w:szCs w:val="24"/>
        </w:rPr>
        <w:t>1,3</w:t>
      </w:r>
      <w:r w:rsidRPr="0000166B">
        <w:rPr>
          <w:color w:val="000000" w:themeColor="text1"/>
          <w:sz w:val="24"/>
          <w:szCs w:val="24"/>
        </w:rPr>
        <w:t>% față de decembrie 201</w:t>
      </w:r>
      <w:r w:rsidR="0000166B" w:rsidRPr="0000166B">
        <w:rPr>
          <w:color w:val="000000" w:themeColor="text1"/>
          <w:sz w:val="24"/>
          <w:szCs w:val="24"/>
        </w:rPr>
        <w:t>8</w:t>
      </w:r>
      <w:r w:rsidRPr="0000166B">
        <w:rPr>
          <w:color w:val="000000" w:themeColor="text1"/>
          <w:sz w:val="24"/>
          <w:szCs w:val="24"/>
        </w:rPr>
        <w:t>,</w:t>
      </w:r>
      <w:r w:rsidRPr="0000166B">
        <w:rPr>
          <w:color w:val="000000"/>
          <w:sz w:val="24"/>
          <w:szCs w:val="24"/>
        </w:rPr>
        <w:t xml:space="preserve"> </w:t>
      </w:r>
      <w:r w:rsidRPr="0000166B">
        <w:rPr>
          <w:sz w:val="24"/>
        </w:rPr>
        <w:t>înregistrînd o m</w:t>
      </w:r>
      <w:r w:rsidR="0000166B" w:rsidRPr="0000166B">
        <w:rPr>
          <w:sz w:val="24"/>
        </w:rPr>
        <w:t>ajo</w:t>
      </w:r>
      <w:r w:rsidRPr="0000166B">
        <w:rPr>
          <w:sz w:val="24"/>
        </w:rPr>
        <w:t xml:space="preserve">rare de </w:t>
      </w:r>
      <w:r w:rsidR="0000166B" w:rsidRPr="0000166B">
        <w:rPr>
          <w:sz w:val="24"/>
        </w:rPr>
        <w:t>1,3</w:t>
      </w:r>
      <w:r w:rsidRPr="0000166B">
        <w:rPr>
          <w:sz w:val="24"/>
        </w:rPr>
        <w:t xml:space="preserve"> p.p. comparativ cu rata inflației din aceeași perioadă a anului 201</w:t>
      </w:r>
      <w:r w:rsidR="0000166B" w:rsidRPr="0000166B">
        <w:rPr>
          <w:sz w:val="24"/>
        </w:rPr>
        <w:t>8.</w:t>
      </w:r>
      <w:r w:rsidR="0000166B" w:rsidRPr="00712EED">
        <w:rPr>
          <w:sz w:val="24"/>
        </w:rPr>
        <w:t xml:space="preserve"> </w:t>
      </w:r>
      <w:r w:rsidR="0000166B" w:rsidRPr="006A2723">
        <w:rPr>
          <w:sz w:val="24"/>
          <w:szCs w:val="24"/>
        </w:rPr>
        <w:t xml:space="preserve">Rata anuală </w:t>
      </w:r>
      <w:r w:rsidR="0000166B">
        <w:rPr>
          <w:sz w:val="24"/>
          <w:szCs w:val="24"/>
        </w:rPr>
        <w:t xml:space="preserve">a </w:t>
      </w:r>
      <w:proofErr w:type="spellStart"/>
      <w:r w:rsidR="0000166B" w:rsidRPr="006A2723">
        <w:rPr>
          <w:sz w:val="24"/>
          <w:szCs w:val="24"/>
        </w:rPr>
        <w:t>inflaţiei</w:t>
      </w:r>
      <w:proofErr w:type="spellEnd"/>
      <w:r w:rsidR="0000166B" w:rsidRPr="006A2723">
        <w:rPr>
          <w:sz w:val="24"/>
          <w:szCs w:val="24"/>
        </w:rPr>
        <w:t xml:space="preserve"> a constituit 2,2%, fiind sub nivelul </w:t>
      </w:r>
      <w:proofErr w:type="spellStart"/>
      <w:r w:rsidR="0000166B" w:rsidRPr="006A2723">
        <w:rPr>
          <w:sz w:val="24"/>
          <w:szCs w:val="24"/>
        </w:rPr>
        <w:t>ţintă</w:t>
      </w:r>
      <w:proofErr w:type="spellEnd"/>
      <w:r w:rsidR="0000166B" w:rsidRPr="006A2723">
        <w:rPr>
          <w:sz w:val="24"/>
          <w:szCs w:val="24"/>
        </w:rPr>
        <w:t xml:space="preserve"> a </w:t>
      </w:r>
      <w:proofErr w:type="spellStart"/>
      <w:r w:rsidR="0000166B" w:rsidRPr="006A2723">
        <w:rPr>
          <w:sz w:val="24"/>
          <w:szCs w:val="24"/>
        </w:rPr>
        <w:t>inflaţiei</w:t>
      </w:r>
      <w:proofErr w:type="spellEnd"/>
      <w:r w:rsidR="0000166B" w:rsidRPr="006A2723">
        <w:rPr>
          <w:sz w:val="24"/>
          <w:szCs w:val="24"/>
        </w:rPr>
        <w:t xml:space="preserve"> stabilit de Banca Națională a Moldovei (5% +/- 1,5%). </w:t>
      </w:r>
    </w:p>
    <w:p w:rsidR="008649A8" w:rsidRDefault="008649A8" w:rsidP="008649A8">
      <w:pPr>
        <w:tabs>
          <w:tab w:val="left" w:pos="1701"/>
        </w:tabs>
        <w:jc w:val="both"/>
        <w:rPr>
          <w:b/>
          <w:i/>
          <w:sz w:val="24"/>
          <w:u w:val="single"/>
        </w:rPr>
      </w:pPr>
    </w:p>
    <w:p w:rsidR="00F556FF" w:rsidRPr="00A426D5" w:rsidRDefault="00F556FF" w:rsidP="00F556FF">
      <w:pPr>
        <w:jc w:val="center"/>
        <w:rPr>
          <w:b/>
          <w:i/>
          <w:sz w:val="24"/>
        </w:rPr>
      </w:pPr>
      <w:r w:rsidRPr="00A426D5">
        <w:rPr>
          <w:b/>
          <w:i/>
          <w:sz w:val="24"/>
          <w:szCs w:val="24"/>
        </w:rPr>
        <w:t>Evoluţia</w:t>
      </w:r>
      <w:r w:rsidRPr="00A426D5">
        <w:rPr>
          <w:b/>
          <w:i/>
          <w:sz w:val="24"/>
        </w:rPr>
        <w:t xml:space="preserve"> ratei </w:t>
      </w:r>
      <w:proofErr w:type="spellStart"/>
      <w:r w:rsidRPr="00A426D5">
        <w:rPr>
          <w:b/>
          <w:i/>
          <w:sz w:val="24"/>
        </w:rPr>
        <w:t>inflaţiei</w:t>
      </w:r>
      <w:proofErr w:type="spellEnd"/>
      <w:r w:rsidRPr="00A426D5">
        <w:rPr>
          <w:b/>
          <w:i/>
          <w:sz w:val="24"/>
        </w:rPr>
        <w:t xml:space="preserve"> în ianuarie 201</w:t>
      </w:r>
      <w:r w:rsidR="00404F1F">
        <w:rPr>
          <w:b/>
          <w:i/>
          <w:sz w:val="24"/>
        </w:rPr>
        <w:t>5</w:t>
      </w:r>
      <w:r w:rsidRPr="00A426D5">
        <w:rPr>
          <w:b/>
          <w:i/>
          <w:sz w:val="24"/>
        </w:rPr>
        <w:t>–201</w:t>
      </w:r>
      <w:r w:rsidR="00404F1F">
        <w:rPr>
          <w:b/>
          <w:i/>
          <w:sz w:val="24"/>
        </w:rPr>
        <w:t>9</w:t>
      </w:r>
      <w:r w:rsidRPr="00A426D5">
        <w:rPr>
          <w:b/>
          <w:i/>
          <w:sz w:val="24"/>
        </w:rPr>
        <w:t xml:space="preserve">, </w:t>
      </w:r>
      <w:r w:rsidRPr="00A426D5">
        <w:rPr>
          <w:i/>
          <w:sz w:val="24"/>
        </w:rPr>
        <w:t>%</w:t>
      </w:r>
    </w:p>
    <w:tbl>
      <w:tblPr>
        <w:tblW w:w="0" w:type="auto"/>
        <w:tblInd w:w="138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59"/>
        <w:gridCol w:w="2205"/>
        <w:gridCol w:w="2520"/>
      </w:tblGrid>
      <w:tr w:rsidR="00F556FF" w:rsidRPr="00A426D5" w:rsidTr="003E05EC">
        <w:trPr>
          <w:cantSplit/>
          <w:trHeight w:val="593"/>
        </w:trPr>
        <w:tc>
          <w:tcPr>
            <w:tcW w:w="1559" w:type="dxa"/>
            <w:tcBorders>
              <w:top w:val="double" w:sz="4" w:space="0" w:color="auto"/>
              <w:left w:val="double" w:sz="4" w:space="0" w:color="auto"/>
              <w:bottom w:val="single" w:sz="4" w:space="0" w:color="auto"/>
              <w:right w:val="single" w:sz="4" w:space="0" w:color="auto"/>
            </w:tcBorders>
            <w:vAlign w:val="center"/>
          </w:tcPr>
          <w:p w:rsidR="00F556FF" w:rsidRPr="00A426D5" w:rsidRDefault="00F556FF" w:rsidP="003E05EC">
            <w:pPr>
              <w:pStyle w:val="BodyTextIndent3"/>
              <w:tabs>
                <w:tab w:val="left" w:pos="0"/>
              </w:tabs>
              <w:spacing w:line="240" w:lineRule="auto"/>
              <w:ind w:firstLine="0"/>
              <w:jc w:val="center"/>
              <w:rPr>
                <w:b/>
                <w:i/>
                <w:sz w:val="22"/>
                <w:szCs w:val="22"/>
              </w:rPr>
            </w:pPr>
            <w:r w:rsidRPr="00A426D5">
              <w:rPr>
                <w:b/>
                <w:i/>
                <w:sz w:val="22"/>
                <w:szCs w:val="22"/>
              </w:rPr>
              <w:t>Anii</w:t>
            </w:r>
          </w:p>
        </w:tc>
        <w:tc>
          <w:tcPr>
            <w:tcW w:w="2205" w:type="dxa"/>
            <w:tcBorders>
              <w:top w:val="double" w:sz="4" w:space="0" w:color="auto"/>
              <w:left w:val="single" w:sz="4" w:space="0" w:color="auto"/>
              <w:bottom w:val="single" w:sz="4" w:space="0" w:color="auto"/>
              <w:right w:val="single" w:sz="4" w:space="0" w:color="auto"/>
            </w:tcBorders>
            <w:vAlign w:val="center"/>
          </w:tcPr>
          <w:p w:rsidR="00F556FF" w:rsidRPr="00A426D5" w:rsidRDefault="00F556FF" w:rsidP="003E05EC">
            <w:pPr>
              <w:pStyle w:val="BodyTextIndent3"/>
              <w:tabs>
                <w:tab w:val="left" w:pos="0"/>
              </w:tabs>
              <w:spacing w:line="240" w:lineRule="auto"/>
              <w:ind w:firstLine="0"/>
              <w:jc w:val="center"/>
              <w:rPr>
                <w:b/>
                <w:i/>
                <w:sz w:val="22"/>
                <w:szCs w:val="22"/>
              </w:rPr>
            </w:pPr>
            <w:r w:rsidRPr="00A426D5">
              <w:rPr>
                <w:b/>
                <w:i/>
                <w:sz w:val="22"/>
                <w:szCs w:val="22"/>
              </w:rPr>
              <w:t xml:space="preserve">Ianuarie </w:t>
            </w:r>
          </w:p>
          <w:p w:rsidR="00F556FF" w:rsidRPr="00A426D5" w:rsidRDefault="00F556FF" w:rsidP="003E05EC">
            <w:pPr>
              <w:pStyle w:val="BodyTextIndent3"/>
              <w:tabs>
                <w:tab w:val="left" w:pos="0"/>
              </w:tabs>
              <w:spacing w:line="240" w:lineRule="auto"/>
              <w:ind w:firstLine="0"/>
              <w:jc w:val="center"/>
              <w:rPr>
                <w:b/>
                <w:i/>
                <w:sz w:val="22"/>
                <w:szCs w:val="22"/>
              </w:rPr>
            </w:pPr>
            <w:r w:rsidRPr="00A426D5">
              <w:rPr>
                <w:b/>
                <w:i/>
                <w:sz w:val="22"/>
                <w:szCs w:val="22"/>
              </w:rPr>
              <w:t>faţă de decembrie a anului precedent</w:t>
            </w:r>
          </w:p>
        </w:tc>
        <w:tc>
          <w:tcPr>
            <w:tcW w:w="2520" w:type="dxa"/>
            <w:tcBorders>
              <w:top w:val="double" w:sz="4" w:space="0" w:color="auto"/>
              <w:left w:val="single" w:sz="4" w:space="0" w:color="auto"/>
              <w:bottom w:val="single" w:sz="4" w:space="0" w:color="auto"/>
              <w:right w:val="double" w:sz="4" w:space="0" w:color="auto"/>
            </w:tcBorders>
            <w:vAlign w:val="center"/>
          </w:tcPr>
          <w:p w:rsidR="00F556FF" w:rsidRPr="00A426D5" w:rsidRDefault="00F556FF" w:rsidP="003E05EC">
            <w:pPr>
              <w:pStyle w:val="BodyTextIndent3"/>
              <w:tabs>
                <w:tab w:val="left" w:pos="0"/>
              </w:tabs>
              <w:spacing w:line="240" w:lineRule="auto"/>
              <w:ind w:firstLine="0"/>
              <w:jc w:val="center"/>
              <w:rPr>
                <w:b/>
                <w:i/>
                <w:sz w:val="22"/>
                <w:szCs w:val="22"/>
              </w:rPr>
            </w:pPr>
            <w:r w:rsidRPr="00A426D5">
              <w:rPr>
                <w:b/>
                <w:i/>
                <w:sz w:val="22"/>
                <w:szCs w:val="22"/>
              </w:rPr>
              <w:t>Ianuarie</w:t>
            </w:r>
          </w:p>
          <w:p w:rsidR="00F556FF" w:rsidRPr="00A426D5" w:rsidRDefault="00F556FF" w:rsidP="003E05EC">
            <w:pPr>
              <w:pStyle w:val="BodyTextIndent3"/>
              <w:tabs>
                <w:tab w:val="left" w:pos="0"/>
              </w:tabs>
              <w:spacing w:line="240" w:lineRule="auto"/>
              <w:ind w:firstLine="0"/>
              <w:jc w:val="center"/>
              <w:rPr>
                <w:b/>
                <w:i/>
                <w:sz w:val="22"/>
                <w:szCs w:val="22"/>
              </w:rPr>
            </w:pPr>
            <w:r w:rsidRPr="00A426D5">
              <w:rPr>
                <w:b/>
                <w:i/>
                <w:sz w:val="22"/>
                <w:szCs w:val="22"/>
              </w:rPr>
              <w:t>faţă de ianuarie a anului precedent</w:t>
            </w:r>
          </w:p>
        </w:tc>
      </w:tr>
      <w:tr w:rsidR="00F556FF" w:rsidRPr="00A426D5" w:rsidTr="003E05EC">
        <w:tc>
          <w:tcPr>
            <w:tcW w:w="1559" w:type="dxa"/>
            <w:tcBorders>
              <w:top w:val="single" w:sz="4" w:space="0" w:color="auto"/>
              <w:left w:val="double" w:sz="4" w:space="0" w:color="auto"/>
              <w:bottom w:val="single" w:sz="4" w:space="0" w:color="auto"/>
              <w:right w:val="single" w:sz="4" w:space="0" w:color="auto"/>
            </w:tcBorders>
            <w:vAlign w:val="bottom"/>
          </w:tcPr>
          <w:p w:rsidR="00F556FF" w:rsidRPr="00A426D5" w:rsidRDefault="00F556FF" w:rsidP="003E05EC">
            <w:pPr>
              <w:jc w:val="center"/>
              <w:rPr>
                <w:b/>
                <w:sz w:val="22"/>
                <w:szCs w:val="22"/>
              </w:rPr>
            </w:pPr>
            <w:r w:rsidRPr="00A426D5">
              <w:rPr>
                <w:b/>
                <w:sz w:val="22"/>
                <w:szCs w:val="22"/>
              </w:rPr>
              <w:t>2015</w:t>
            </w:r>
          </w:p>
        </w:tc>
        <w:tc>
          <w:tcPr>
            <w:tcW w:w="2205" w:type="dxa"/>
            <w:tcBorders>
              <w:top w:val="single" w:sz="4" w:space="0" w:color="auto"/>
              <w:left w:val="single" w:sz="4" w:space="0" w:color="auto"/>
              <w:bottom w:val="single" w:sz="4" w:space="0" w:color="auto"/>
              <w:right w:val="single" w:sz="4" w:space="0" w:color="auto"/>
            </w:tcBorders>
            <w:vAlign w:val="bottom"/>
          </w:tcPr>
          <w:p w:rsidR="00F556FF" w:rsidRPr="00A426D5" w:rsidRDefault="00F556FF" w:rsidP="003E05EC">
            <w:pPr>
              <w:jc w:val="center"/>
              <w:rPr>
                <w:sz w:val="22"/>
                <w:szCs w:val="22"/>
              </w:rPr>
            </w:pPr>
            <w:r w:rsidRPr="00A426D5">
              <w:rPr>
                <w:sz w:val="22"/>
                <w:szCs w:val="22"/>
              </w:rPr>
              <w:t>0,8</w:t>
            </w:r>
          </w:p>
        </w:tc>
        <w:tc>
          <w:tcPr>
            <w:tcW w:w="2520" w:type="dxa"/>
            <w:tcBorders>
              <w:top w:val="single" w:sz="4" w:space="0" w:color="auto"/>
              <w:left w:val="single" w:sz="4" w:space="0" w:color="auto"/>
              <w:bottom w:val="single" w:sz="4" w:space="0" w:color="auto"/>
              <w:right w:val="double" w:sz="4" w:space="0" w:color="auto"/>
            </w:tcBorders>
            <w:vAlign w:val="bottom"/>
          </w:tcPr>
          <w:p w:rsidR="00F556FF" w:rsidRPr="00A426D5" w:rsidRDefault="00F556FF" w:rsidP="003E05EC">
            <w:pPr>
              <w:ind w:right="931"/>
              <w:jc w:val="right"/>
              <w:rPr>
                <w:snapToGrid w:val="0"/>
                <w:sz w:val="22"/>
                <w:szCs w:val="22"/>
                <w:lang w:eastAsia="en-US"/>
              </w:rPr>
            </w:pPr>
            <w:r w:rsidRPr="00A426D5">
              <w:rPr>
                <w:snapToGrid w:val="0"/>
                <w:sz w:val="22"/>
                <w:szCs w:val="22"/>
                <w:lang w:eastAsia="en-US"/>
              </w:rPr>
              <w:t>4,7</w:t>
            </w:r>
          </w:p>
        </w:tc>
      </w:tr>
      <w:tr w:rsidR="00F556FF" w:rsidRPr="00A426D5" w:rsidTr="003E05EC">
        <w:tc>
          <w:tcPr>
            <w:tcW w:w="1559" w:type="dxa"/>
            <w:tcBorders>
              <w:top w:val="single" w:sz="4" w:space="0" w:color="auto"/>
              <w:left w:val="double" w:sz="4" w:space="0" w:color="auto"/>
              <w:bottom w:val="single" w:sz="4" w:space="0" w:color="auto"/>
              <w:right w:val="single" w:sz="4" w:space="0" w:color="auto"/>
            </w:tcBorders>
            <w:vAlign w:val="bottom"/>
          </w:tcPr>
          <w:p w:rsidR="00F556FF" w:rsidRPr="00A426D5" w:rsidRDefault="00F556FF" w:rsidP="003E05EC">
            <w:pPr>
              <w:jc w:val="center"/>
              <w:rPr>
                <w:b/>
                <w:sz w:val="22"/>
                <w:szCs w:val="22"/>
              </w:rPr>
            </w:pPr>
            <w:r>
              <w:rPr>
                <w:b/>
                <w:sz w:val="22"/>
                <w:szCs w:val="22"/>
              </w:rPr>
              <w:t>2016</w:t>
            </w:r>
          </w:p>
        </w:tc>
        <w:tc>
          <w:tcPr>
            <w:tcW w:w="2205" w:type="dxa"/>
            <w:tcBorders>
              <w:top w:val="single" w:sz="4" w:space="0" w:color="auto"/>
              <w:left w:val="single" w:sz="4" w:space="0" w:color="auto"/>
              <w:bottom w:val="single" w:sz="4" w:space="0" w:color="auto"/>
              <w:right w:val="single" w:sz="4" w:space="0" w:color="auto"/>
            </w:tcBorders>
            <w:vAlign w:val="bottom"/>
          </w:tcPr>
          <w:p w:rsidR="00F556FF" w:rsidRPr="00A426D5" w:rsidRDefault="00F556FF" w:rsidP="003E05EC">
            <w:pPr>
              <w:jc w:val="center"/>
              <w:rPr>
                <w:sz w:val="22"/>
                <w:szCs w:val="22"/>
              </w:rPr>
            </w:pPr>
            <w:r>
              <w:rPr>
                <w:sz w:val="22"/>
                <w:szCs w:val="22"/>
              </w:rPr>
              <w:t>0,7</w:t>
            </w:r>
          </w:p>
        </w:tc>
        <w:tc>
          <w:tcPr>
            <w:tcW w:w="2520" w:type="dxa"/>
            <w:tcBorders>
              <w:top w:val="single" w:sz="4" w:space="0" w:color="auto"/>
              <w:left w:val="single" w:sz="4" w:space="0" w:color="auto"/>
              <w:bottom w:val="single" w:sz="4" w:space="0" w:color="auto"/>
              <w:right w:val="double" w:sz="4" w:space="0" w:color="auto"/>
            </w:tcBorders>
            <w:vAlign w:val="bottom"/>
          </w:tcPr>
          <w:p w:rsidR="00F556FF" w:rsidRPr="00A426D5" w:rsidRDefault="00F556FF" w:rsidP="003E05EC">
            <w:pPr>
              <w:ind w:right="931"/>
              <w:jc w:val="right"/>
              <w:rPr>
                <w:snapToGrid w:val="0"/>
                <w:sz w:val="22"/>
                <w:szCs w:val="22"/>
                <w:lang w:eastAsia="en-US"/>
              </w:rPr>
            </w:pPr>
            <w:r>
              <w:rPr>
                <w:snapToGrid w:val="0"/>
                <w:sz w:val="22"/>
                <w:szCs w:val="22"/>
                <w:lang w:eastAsia="en-US"/>
              </w:rPr>
              <w:t>13,4</w:t>
            </w:r>
          </w:p>
        </w:tc>
      </w:tr>
      <w:tr w:rsidR="00F556FF" w:rsidRPr="00A426D5" w:rsidTr="003E05EC">
        <w:tc>
          <w:tcPr>
            <w:tcW w:w="1559" w:type="dxa"/>
            <w:tcBorders>
              <w:top w:val="single" w:sz="4" w:space="0" w:color="auto"/>
              <w:left w:val="double" w:sz="4" w:space="0" w:color="auto"/>
              <w:bottom w:val="single" w:sz="4" w:space="0" w:color="auto"/>
              <w:right w:val="single" w:sz="4" w:space="0" w:color="auto"/>
            </w:tcBorders>
            <w:vAlign w:val="bottom"/>
          </w:tcPr>
          <w:p w:rsidR="00F556FF" w:rsidRDefault="00F556FF" w:rsidP="003E05EC">
            <w:pPr>
              <w:jc w:val="center"/>
              <w:rPr>
                <w:b/>
                <w:sz w:val="22"/>
                <w:szCs w:val="22"/>
              </w:rPr>
            </w:pPr>
            <w:r>
              <w:rPr>
                <w:b/>
                <w:sz w:val="22"/>
                <w:szCs w:val="22"/>
              </w:rPr>
              <w:t>2017</w:t>
            </w:r>
          </w:p>
        </w:tc>
        <w:tc>
          <w:tcPr>
            <w:tcW w:w="2205" w:type="dxa"/>
            <w:tcBorders>
              <w:top w:val="single" w:sz="4" w:space="0" w:color="auto"/>
              <w:left w:val="single" w:sz="4" w:space="0" w:color="auto"/>
              <w:bottom w:val="single" w:sz="4" w:space="0" w:color="auto"/>
              <w:right w:val="single" w:sz="4" w:space="0" w:color="auto"/>
            </w:tcBorders>
            <w:vAlign w:val="bottom"/>
          </w:tcPr>
          <w:p w:rsidR="00F556FF" w:rsidRDefault="00F556FF" w:rsidP="003E05EC">
            <w:pPr>
              <w:jc w:val="center"/>
              <w:rPr>
                <w:sz w:val="22"/>
                <w:szCs w:val="22"/>
              </w:rPr>
            </w:pPr>
            <w:r>
              <w:rPr>
                <w:sz w:val="22"/>
                <w:szCs w:val="22"/>
              </w:rPr>
              <w:t>1,2</w:t>
            </w:r>
          </w:p>
        </w:tc>
        <w:tc>
          <w:tcPr>
            <w:tcW w:w="2520" w:type="dxa"/>
            <w:tcBorders>
              <w:top w:val="single" w:sz="4" w:space="0" w:color="auto"/>
              <w:left w:val="single" w:sz="4" w:space="0" w:color="auto"/>
              <w:bottom w:val="single" w:sz="4" w:space="0" w:color="auto"/>
              <w:right w:val="double" w:sz="4" w:space="0" w:color="auto"/>
            </w:tcBorders>
            <w:vAlign w:val="bottom"/>
          </w:tcPr>
          <w:p w:rsidR="00F556FF" w:rsidRDefault="00F556FF" w:rsidP="003E05EC">
            <w:pPr>
              <w:ind w:right="931"/>
              <w:jc w:val="right"/>
              <w:rPr>
                <w:snapToGrid w:val="0"/>
                <w:sz w:val="22"/>
                <w:szCs w:val="22"/>
                <w:lang w:eastAsia="en-US"/>
              </w:rPr>
            </w:pPr>
            <w:r>
              <w:rPr>
                <w:snapToGrid w:val="0"/>
                <w:sz w:val="22"/>
                <w:szCs w:val="22"/>
                <w:lang w:eastAsia="en-US"/>
              </w:rPr>
              <w:t>3,0</w:t>
            </w:r>
          </w:p>
        </w:tc>
      </w:tr>
      <w:tr w:rsidR="00F556FF" w:rsidRPr="00A426D5" w:rsidTr="00F556FF">
        <w:tc>
          <w:tcPr>
            <w:tcW w:w="1559" w:type="dxa"/>
            <w:tcBorders>
              <w:top w:val="single" w:sz="4" w:space="0" w:color="auto"/>
              <w:left w:val="double" w:sz="4" w:space="0" w:color="auto"/>
              <w:bottom w:val="single" w:sz="4" w:space="0" w:color="auto"/>
              <w:right w:val="single" w:sz="4" w:space="0" w:color="auto"/>
            </w:tcBorders>
            <w:vAlign w:val="bottom"/>
          </w:tcPr>
          <w:p w:rsidR="00F556FF" w:rsidRDefault="00F556FF" w:rsidP="003E05EC">
            <w:pPr>
              <w:jc w:val="center"/>
              <w:rPr>
                <w:b/>
                <w:sz w:val="22"/>
                <w:szCs w:val="22"/>
              </w:rPr>
            </w:pPr>
            <w:r>
              <w:rPr>
                <w:b/>
                <w:sz w:val="22"/>
                <w:szCs w:val="22"/>
              </w:rPr>
              <w:t>2018</w:t>
            </w:r>
          </w:p>
        </w:tc>
        <w:tc>
          <w:tcPr>
            <w:tcW w:w="2205" w:type="dxa"/>
            <w:tcBorders>
              <w:top w:val="single" w:sz="4" w:space="0" w:color="auto"/>
              <w:left w:val="single" w:sz="4" w:space="0" w:color="auto"/>
              <w:bottom w:val="single" w:sz="4" w:space="0" w:color="auto"/>
              <w:right w:val="single" w:sz="4" w:space="0" w:color="auto"/>
            </w:tcBorders>
            <w:vAlign w:val="bottom"/>
          </w:tcPr>
          <w:p w:rsidR="00F556FF" w:rsidRPr="00F24EC7" w:rsidRDefault="00F556FF" w:rsidP="003E05EC">
            <w:pPr>
              <w:jc w:val="center"/>
              <w:rPr>
                <w:sz w:val="22"/>
                <w:szCs w:val="22"/>
              </w:rPr>
            </w:pPr>
            <w:r>
              <w:rPr>
                <w:sz w:val="22"/>
                <w:szCs w:val="22"/>
              </w:rPr>
              <w:t>0,0</w:t>
            </w:r>
          </w:p>
        </w:tc>
        <w:tc>
          <w:tcPr>
            <w:tcW w:w="2520" w:type="dxa"/>
            <w:tcBorders>
              <w:top w:val="single" w:sz="4" w:space="0" w:color="auto"/>
              <w:left w:val="single" w:sz="4" w:space="0" w:color="auto"/>
              <w:bottom w:val="single" w:sz="4" w:space="0" w:color="auto"/>
              <w:right w:val="double" w:sz="4" w:space="0" w:color="auto"/>
            </w:tcBorders>
            <w:vAlign w:val="bottom"/>
          </w:tcPr>
          <w:p w:rsidR="00F556FF" w:rsidRDefault="00F556FF" w:rsidP="00F556FF">
            <w:pPr>
              <w:ind w:right="931"/>
              <w:jc w:val="right"/>
              <w:rPr>
                <w:snapToGrid w:val="0"/>
                <w:sz w:val="22"/>
                <w:szCs w:val="22"/>
                <w:lang w:eastAsia="en-US"/>
              </w:rPr>
            </w:pPr>
            <w:r>
              <w:rPr>
                <w:snapToGrid w:val="0"/>
                <w:sz w:val="22"/>
                <w:szCs w:val="22"/>
                <w:lang w:eastAsia="en-US"/>
              </w:rPr>
              <w:t>6,0</w:t>
            </w:r>
          </w:p>
        </w:tc>
      </w:tr>
      <w:tr w:rsidR="00F556FF" w:rsidRPr="00A426D5" w:rsidTr="003E05EC">
        <w:tc>
          <w:tcPr>
            <w:tcW w:w="1559" w:type="dxa"/>
            <w:tcBorders>
              <w:top w:val="single" w:sz="4" w:space="0" w:color="auto"/>
              <w:left w:val="double" w:sz="4" w:space="0" w:color="auto"/>
              <w:bottom w:val="double" w:sz="4" w:space="0" w:color="auto"/>
              <w:right w:val="single" w:sz="4" w:space="0" w:color="auto"/>
            </w:tcBorders>
            <w:vAlign w:val="bottom"/>
          </w:tcPr>
          <w:p w:rsidR="00F556FF" w:rsidRDefault="00F556FF" w:rsidP="003E05EC">
            <w:pPr>
              <w:jc w:val="center"/>
              <w:rPr>
                <w:b/>
                <w:sz w:val="22"/>
                <w:szCs w:val="22"/>
              </w:rPr>
            </w:pPr>
            <w:r>
              <w:rPr>
                <w:b/>
                <w:sz w:val="22"/>
                <w:szCs w:val="22"/>
              </w:rPr>
              <w:t>2019</w:t>
            </w:r>
          </w:p>
        </w:tc>
        <w:tc>
          <w:tcPr>
            <w:tcW w:w="2205" w:type="dxa"/>
            <w:tcBorders>
              <w:top w:val="single" w:sz="4" w:space="0" w:color="auto"/>
              <w:left w:val="single" w:sz="4" w:space="0" w:color="auto"/>
              <w:bottom w:val="double" w:sz="4" w:space="0" w:color="auto"/>
              <w:right w:val="single" w:sz="4" w:space="0" w:color="auto"/>
            </w:tcBorders>
            <w:vAlign w:val="bottom"/>
          </w:tcPr>
          <w:p w:rsidR="00F556FF" w:rsidRDefault="00F556FF" w:rsidP="003E05EC">
            <w:pPr>
              <w:jc w:val="center"/>
              <w:rPr>
                <w:sz w:val="22"/>
                <w:szCs w:val="22"/>
              </w:rPr>
            </w:pPr>
            <w:r>
              <w:rPr>
                <w:sz w:val="22"/>
                <w:szCs w:val="22"/>
              </w:rPr>
              <w:t>1,3</w:t>
            </w:r>
          </w:p>
        </w:tc>
        <w:tc>
          <w:tcPr>
            <w:tcW w:w="2520" w:type="dxa"/>
            <w:tcBorders>
              <w:top w:val="single" w:sz="4" w:space="0" w:color="auto"/>
              <w:left w:val="single" w:sz="4" w:space="0" w:color="auto"/>
              <w:bottom w:val="double" w:sz="4" w:space="0" w:color="auto"/>
              <w:right w:val="double" w:sz="4" w:space="0" w:color="auto"/>
            </w:tcBorders>
            <w:vAlign w:val="bottom"/>
          </w:tcPr>
          <w:p w:rsidR="00F556FF" w:rsidRDefault="00F556FF" w:rsidP="003E05EC">
            <w:pPr>
              <w:ind w:right="931"/>
              <w:jc w:val="right"/>
              <w:rPr>
                <w:snapToGrid w:val="0"/>
                <w:sz w:val="22"/>
                <w:szCs w:val="22"/>
                <w:lang w:eastAsia="en-US"/>
              </w:rPr>
            </w:pPr>
            <w:r>
              <w:rPr>
                <w:snapToGrid w:val="0"/>
                <w:sz w:val="22"/>
                <w:szCs w:val="22"/>
                <w:lang w:eastAsia="en-US"/>
              </w:rPr>
              <w:t>2,2</w:t>
            </w:r>
          </w:p>
        </w:tc>
      </w:tr>
    </w:tbl>
    <w:p w:rsidR="00F556FF" w:rsidRPr="00A426D5" w:rsidRDefault="00F556FF" w:rsidP="00F556FF">
      <w:pPr>
        <w:pStyle w:val="Caption"/>
        <w:spacing w:before="0" w:after="0" w:line="240" w:lineRule="auto"/>
        <w:ind w:left="-284" w:firstLine="0"/>
        <w:rPr>
          <w:rFonts w:ascii="Times New Roman" w:hAnsi="Times New Roman"/>
          <w:b w:val="0"/>
          <w:sz w:val="4"/>
          <w:u w:val="single"/>
          <w:lang w:val="ro-RO"/>
        </w:rPr>
      </w:pPr>
    </w:p>
    <w:p w:rsidR="00F556FF" w:rsidRPr="00A426D5" w:rsidRDefault="00F556FF" w:rsidP="00F556FF">
      <w:pPr>
        <w:pStyle w:val="Caption"/>
        <w:spacing w:before="0" w:after="0" w:line="240" w:lineRule="auto"/>
        <w:ind w:left="-284" w:firstLine="1544"/>
        <w:rPr>
          <w:rFonts w:ascii="Times New Roman" w:hAnsi="Times New Roman"/>
          <w:i/>
          <w:lang w:val="ro-RO"/>
        </w:rPr>
      </w:pPr>
      <w:r>
        <w:rPr>
          <w:rFonts w:ascii="Times New Roman" w:hAnsi="Times New Roman"/>
          <w:b w:val="0"/>
          <w:i/>
          <w:lang w:val="ro-RO"/>
        </w:rPr>
        <w:t xml:space="preserve">  </w:t>
      </w:r>
      <w:r w:rsidRPr="00A426D5">
        <w:rPr>
          <w:rFonts w:ascii="Times New Roman" w:hAnsi="Times New Roman"/>
          <w:b w:val="0"/>
          <w:i/>
          <w:lang w:val="ro-RO"/>
        </w:rPr>
        <w:t>Sursă: Biroul Naţional de Statistică</w:t>
      </w:r>
    </w:p>
    <w:p w:rsidR="008649A8" w:rsidRPr="002A5B18" w:rsidRDefault="008649A8" w:rsidP="008649A8">
      <w:pPr>
        <w:jc w:val="center"/>
        <w:rPr>
          <w:b/>
          <w:i/>
          <w:sz w:val="24"/>
        </w:rPr>
      </w:pPr>
    </w:p>
    <w:p w:rsidR="008649A8" w:rsidRPr="002A5B18" w:rsidRDefault="008649A8" w:rsidP="008649A8">
      <w:pPr>
        <w:jc w:val="both"/>
        <w:rPr>
          <w:sz w:val="24"/>
          <w:szCs w:val="24"/>
        </w:rPr>
      </w:pPr>
      <w:r w:rsidRPr="002A5B18">
        <w:rPr>
          <w:b/>
          <w:bCs/>
          <w:i/>
          <w:iCs/>
          <w:color w:val="000000" w:themeColor="text1"/>
          <w:sz w:val="24"/>
          <w:szCs w:val="24"/>
        </w:rPr>
        <w:t xml:space="preserve">Prețurile la produsele alimentare </w:t>
      </w:r>
      <w:r w:rsidRPr="002A5B18">
        <w:rPr>
          <w:color w:val="000000" w:themeColor="text1"/>
          <w:sz w:val="24"/>
          <w:szCs w:val="24"/>
        </w:rPr>
        <w:t xml:space="preserve">în luna </w:t>
      </w:r>
      <w:r w:rsidR="00560128" w:rsidRPr="002A5B18">
        <w:rPr>
          <w:color w:val="000000" w:themeColor="text1"/>
          <w:sz w:val="24"/>
          <w:szCs w:val="24"/>
        </w:rPr>
        <w:t>ianuarie</w:t>
      </w:r>
      <w:r w:rsidRPr="002A5B18">
        <w:rPr>
          <w:color w:val="000000" w:themeColor="text1"/>
          <w:sz w:val="24"/>
          <w:szCs w:val="24"/>
        </w:rPr>
        <w:t xml:space="preserve"> 201</w:t>
      </w:r>
      <w:r w:rsidR="00404F1F">
        <w:rPr>
          <w:color w:val="000000" w:themeColor="text1"/>
          <w:sz w:val="24"/>
          <w:szCs w:val="24"/>
        </w:rPr>
        <w:t>9</w:t>
      </w:r>
      <w:r w:rsidRPr="002A5B18">
        <w:rPr>
          <w:color w:val="000000" w:themeColor="text1"/>
          <w:sz w:val="24"/>
          <w:szCs w:val="24"/>
        </w:rPr>
        <w:t xml:space="preserve"> au înregistrat </w:t>
      </w:r>
      <w:r w:rsidRPr="002A5B18">
        <w:rPr>
          <w:b/>
          <w:color w:val="000000" w:themeColor="text1"/>
          <w:sz w:val="24"/>
          <w:szCs w:val="24"/>
        </w:rPr>
        <w:t xml:space="preserve">o </w:t>
      </w:r>
      <w:r w:rsidRPr="002A5B18">
        <w:rPr>
          <w:b/>
          <w:sz w:val="24"/>
          <w:szCs w:val="24"/>
        </w:rPr>
        <w:t xml:space="preserve">creștere de </w:t>
      </w:r>
      <w:r w:rsidR="00560128" w:rsidRPr="002A5B18">
        <w:rPr>
          <w:b/>
          <w:sz w:val="24"/>
          <w:szCs w:val="24"/>
        </w:rPr>
        <w:t>1,7</w:t>
      </w:r>
      <w:r w:rsidRPr="002A5B18">
        <w:rPr>
          <w:b/>
          <w:sz w:val="24"/>
          <w:szCs w:val="24"/>
        </w:rPr>
        <w:t xml:space="preserve">% </w:t>
      </w:r>
      <w:r w:rsidRPr="002A5B18">
        <w:rPr>
          <w:sz w:val="24"/>
          <w:szCs w:val="24"/>
        </w:rPr>
        <w:t>față de decembrie 201</w:t>
      </w:r>
      <w:r w:rsidR="00404F1F">
        <w:rPr>
          <w:sz w:val="24"/>
          <w:szCs w:val="24"/>
        </w:rPr>
        <w:t>8</w:t>
      </w:r>
      <w:r w:rsidRPr="002A5B18">
        <w:rPr>
          <w:sz w:val="24"/>
          <w:szCs w:val="24"/>
        </w:rPr>
        <w:t xml:space="preserve">. În perioada vizată s-au majorat prețurile la </w:t>
      </w:r>
      <w:r w:rsidR="002A5B18" w:rsidRPr="002A5B18">
        <w:rPr>
          <w:sz w:val="24"/>
          <w:szCs w:val="24"/>
        </w:rPr>
        <w:t>legume proaspete cu 12,1%,</w:t>
      </w:r>
      <w:r w:rsidR="00712EED">
        <w:rPr>
          <w:sz w:val="24"/>
          <w:szCs w:val="24"/>
        </w:rPr>
        <w:t xml:space="preserve"> </w:t>
      </w:r>
      <w:r w:rsidRPr="002A5B18">
        <w:rPr>
          <w:sz w:val="24"/>
          <w:szCs w:val="24"/>
        </w:rPr>
        <w:t>cartofi</w:t>
      </w:r>
      <w:r w:rsidR="00712EED">
        <w:rPr>
          <w:sz w:val="24"/>
          <w:szCs w:val="24"/>
        </w:rPr>
        <w:t xml:space="preserve"> -</w:t>
      </w:r>
      <w:r w:rsidRPr="002A5B18">
        <w:rPr>
          <w:sz w:val="24"/>
          <w:szCs w:val="24"/>
        </w:rPr>
        <w:t xml:space="preserve"> cu </w:t>
      </w:r>
      <w:r w:rsidR="002A5B18" w:rsidRPr="002A5B18">
        <w:rPr>
          <w:sz w:val="24"/>
          <w:szCs w:val="24"/>
        </w:rPr>
        <w:t>5,9</w:t>
      </w:r>
      <w:r w:rsidRPr="002A5B18">
        <w:rPr>
          <w:sz w:val="24"/>
          <w:szCs w:val="24"/>
        </w:rPr>
        <w:t xml:space="preserve">%, </w:t>
      </w:r>
      <w:r w:rsidR="002A5B18" w:rsidRPr="002A5B18">
        <w:rPr>
          <w:sz w:val="24"/>
          <w:szCs w:val="24"/>
        </w:rPr>
        <w:t>fructe proaspete - cu 3,6%</w:t>
      </w:r>
      <w:r w:rsidR="002A5B18">
        <w:rPr>
          <w:sz w:val="24"/>
          <w:szCs w:val="24"/>
        </w:rPr>
        <w:t>, zahăr – cu 2%</w:t>
      </w:r>
      <w:r w:rsidR="002A5B18" w:rsidRPr="002A5B18">
        <w:rPr>
          <w:sz w:val="24"/>
          <w:szCs w:val="24"/>
        </w:rPr>
        <w:t xml:space="preserve"> </w:t>
      </w:r>
      <w:r w:rsidRPr="002A5B18">
        <w:rPr>
          <w:sz w:val="24"/>
          <w:szCs w:val="24"/>
        </w:rPr>
        <w:t xml:space="preserve">etc. </w:t>
      </w:r>
    </w:p>
    <w:p w:rsidR="008649A8" w:rsidRPr="002A5B18" w:rsidRDefault="008649A8" w:rsidP="008649A8">
      <w:pPr>
        <w:tabs>
          <w:tab w:val="left" w:pos="0"/>
        </w:tabs>
        <w:jc w:val="both"/>
        <w:rPr>
          <w:sz w:val="24"/>
          <w:szCs w:val="24"/>
        </w:rPr>
      </w:pPr>
    </w:p>
    <w:p w:rsidR="008649A8" w:rsidRPr="002A5B18" w:rsidRDefault="008649A8" w:rsidP="008649A8">
      <w:pPr>
        <w:jc w:val="both"/>
        <w:rPr>
          <w:color w:val="C00000"/>
          <w:sz w:val="24"/>
          <w:szCs w:val="24"/>
        </w:rPr>
      </w:pPr>
      <w:r w:rsidRPr="002A5B18">
        <w:rPr>
          <w:sz w:val="24"/>
          <w:szCs w:val="24"/>
        </w:rPr>
        <w:t>Ca rezultat, creșterea prețurilor la produsele alimentare a avut o contribuție pozitivă la IPC general de 0,</w:t>
      </w:r>
      <w:r w:rsidR="002A5B18" w:rsidRPr="002A5B18">
        <w:rPr>
          <w:sz w:val="24"/>
          <w:szCs w:val="24"/>
        </w:rPr>
        <w:t>7</w:t>
      </w:r>
      <w:r w:rsidRPr="002A5B18">
        <w:rPr>
          <w:sz w:val="24"/>
          <w:szCs w:val="24"/>
        </w:rPr>
        <w:t xml:space="preserve"> p.p. Creșterea prețurilor la legume au contribuit la majorarea IPC general cu 0,</w:t>
      </w:r>
      <w:r w:rsidR="002A5B18" w:rsidRPr="002A5B18">
        <w:rPr>
          <w:sz w:val="24"/>
          <w:szCs w:val="24"/>
        </w:rPr>
        <w:t>4</w:t>
      </w:r>
      <w:r w:rsidRPr="002A5B18">
        <w:rPr>
          <w:sz w:val="24"/>
          <w:szCs w:val="24"/>
        </w:rPr>
        <w:t xml:space="preserve"> p.p., cartofi  - </w:t>
      </w:r>
      <w:r w:rsidR="002A5B18" w:rsidRPr="002A5B18">
        <w:rPr>
          <w:sz w:val="24"/>
          <w:szCs w:val="24"/>
        </w:rPr>
        <w:t>și fructe proaspete</w:t>
      </w:r>
      <w:r w:rsidRPr="002A5B18">
        <w:rPr>
          <w:sz w:val="24"/>
          <w:szCs w:val="24"/>
        </w:rPr>
        <w:t xml:space="preserve"> – cu cîte 0,1 p.p. </w:t>
      </w:r>
    </w:p>
    <w:p w:rsidR="008649A8" w:rsidRPr="002A5B18" w:rsidRDefault="008649A8" w:rsidP="008649A8">
      <w:pPr>
        <w:tabs>
          <w:tab w:val="left" w:pos="0"/>
        </w:tabs>
        <w:jc w:val="both"/>
        <w:rPr>
          <w:sz w:val="24"/>
          <w:szCs w:val="24"/>
        </w:rPr>
      </w:pPr>
    </w:p>
    <w:p w:rsidR="008649A8" w:rsidRPr="002A5B18" w:rsidRDefault="008649A8" w:rsidP="008649A8">
      <w:pPr>
        <w:tabs>
          <w:tab w:val="left" w:pos="0"/>
        </w:tabs>
        <w:jc w:val="both"/>
        <w:rPr>
          <w:color w:val="000000" w:themeColor="text1"/>
          <w:sz w:val="24"/>
          <w:szCs w:val="24"/>
        </w:rPr>
      </w:pPr>
      <w:r w:rsidRPr="002A5B18">
        <w:rPr>
          <w:sz w:val="24"/>
          <w:szCs w:val="24"/>
        </w:rPr>
        <w:t xml:space="preserve">Dinamica prețurilor la produsele alimentare în Republica Moldova este determinată de caracterul sezonier al economiei. În lunile de vară se înregistrează o scădere esențială a prețurilor la legume, fructe, cartofi etc., cu o ulterioară majorare a acestora în lunile de iarnă. </w:t>
      </w:r>
    </w:p>
    <w:p w:rsidR="008649A8" w:rsidRPr="003A0602" w:rsidRDefault="008649A8" w:rsidP="008649A8">
      <w:pPr>
        <w:tabs>
          <w:tab w:val="left" w:pos="0"/>
        </w:tabs>
        <w:jc w:val="both"/>
        <w:rPr>
          <w:sz w:val="24"/>
          <w:szCs w:val="24"/>
        </w:rPr>
      </w:pPr>
    </w:p>
    <w:p w:rsidR="008649A8" w:rsidRPr="003A0602" w:rsidRDefault="008649A8" w:rsidP="008649A8">
      <w:pPr>
        <w:tabs>
          <w:tab w:val="left" w:pos="0"/>
        </w:tabs>
        <w:jc w:val="both"/>
        <w:rPr>
          <w:sz w:val="24"/>
          <w:szCs w:val="24"/>
        </w:rPr>
      </w:pPr>
      <w:r w:rsidRPr="003A0602">
        <w:rPr>
          <w:b/>
          <w:bCs/>
          <w:i/>
          <w:iCs/>
          <w:sz w:val="24"/>
          <w:szCs w:val="24"/>
        </w:rPr>
        <w:t>Prețurile la mărfurile nealimentare</w:t>
      </w:r>
      <w:r w:rsidRPr="003A0602">
        <w:rPr>
          <w:sz w:val="24"/>
          <w:szCs w:val="24"/>
        </w:rPr>
        <w:t xml:space="preserve"> în </w:t>
      </w:r>
      <w:r w:rsidR="00560128" w:rsidRPr="003A0602">
        <w:rPr>
          <w:sz w:val="24"/>
          <w:szCs w:val="24"/>
        </w:rPr>
        <w:t>ianuarie</w:t>
      </w:r>
      <w:r w:rsidRPr="003A0602">
        <w:rPr>
          <w:sz w:val="24"/>
          <w:szCs w:val="24"/>
        </w:rPr>
        <w:t xml:space="preserve"> 201</w:t>
      </w:r>
      <w:r w:rsidR="00404F1F">
        <w:rPr>
          <w:sz w:val="24"/>
          <w:szCs w:val="24"/>
        </w:rPr>
        <w:t>9</w:t>
      </w:r>
      <w:r w:rsidRPr="003A0602">
        <w:rPr>
          <w:sz w:val="24"/>
          <w:szCs w:val="24"/>
        </w:rPr>
        <w:t xml:space="preserve"> </w:t>
      </w:r>
      <w:r w:rsidRPr="00895CD0">
        <w:rPr>
          <w:b/>
          <w:sz w:val="24"/>
          <w:szCs w:val="24"/>
        </w:rPr>
        <w:t>s-</w:t>
      </w:r>
      <w:r w:rsidRPr="003A0602">
        <w:rPr>
          <w:b/>
          <w:sz w:val="24"/>
          <w:szCs w:val="24"/>
        </w:rPr>
        <w:t>au majorat cu 1,</w:t>
      </w:r>
      <w:r w:rsidR="002A5B18" w:rsidRPr="003A0602">
        <w:rPr>
          <w:b/>
          <w:sz w:val="24"/>
          <w:szCs w:val="24"/>
        </w:rPr>
        <w:t>5</w:t>
      </w:r>
      <w:r w:rsidRPr="003A0602">
        <w:rPr>
          <w:b/>
          <w:sz w:val="24"/>
          <w:szCs w:val="24"/>
        </w:rPr>
        <w:t>%</w:t>
      </w:r>
      <w:r w:rsidRPr="003A0602">
        <w:rPr>
          <w:sz w:val="24"/>
          <w:szCs w:val="24"/>
        </w:rPr>
        <w:t xml:space="preserve"> faţă de decembrie 201</w:t>
      </w:r>
      <w:r w:rsidR="00404F1F">
        <w:rPr>
          <w:sz w:val="24"/>
          <w:szCs w:val="24"/>
        </w:rPr>
        <w:t>8</w:t>
      </w:r>
      <w:r w:rsidRPr="003A0602">
        <w:rPr>
          <w:sz w:val="24"/>
          <w:szCs w:val="24"/>
        </w:rPr>
        <w:t xml:space="preserve">, în special, ca rezultat al majorării prețurilor la țigări – cu </w:t>
      </w:r>
      <w:r w:rsidR="002A5B18" w:rsidRPr="003A0602">
        <w:rPr>
          <w:sz w:val="24"/>
          <w:szCs w:val="24"/>
        </w:rPr>
        <w:t>25,2</w:t>
      </w:r>
      <w:r w:rsidRPr="003A0602">
        <w:rPr>
          <w:sz w:val="24"/>
          <w:szCs w:val="24"/>
        </w:rPr>
        <w:t>%</w:t>
      </w:r>
      <w:r w:rsidR="00895CD0">
        <w:rPr>
          <w:sz w:val="24"/>
          <w:szCs w:val="24"/>
        </w:rPr>
        <w:t>,</w:t>
      </w:r>
      <w:r w:rsidRPr="003A0602">
        <w:rPr>
          <w:sz w:val="24"/>
          <w:szCs w:val="24"/>
        </w:rPr>
        <w:t xml:space="preserve"> </w:t>
      </w:r>
      <w:r w:rsidR="002A5B18" w:rsidRPr="003A0602">
        <w:rPr>
          <w:sz w:val="24"/>
          <w:szCs w:val="24"/>
        </w:rPr>
        <w:t>televizoare</w:t>
      </w:r>
      <w:r w:rsidRPr="003A0602">
        <w:rPr>
          <w:sz w:val="24"/>
          <w:szCs w:val="24"/>
        </w:rPr>
        <w:t xml:space="preserve"> - cu </w:t>
      </w:r>
      <w:r w:rsidR="002A5B18" w:rsidRPr="003A0602">
        <w:rPr>
          <w:sz w:val="24"/>
          <w:szCs w:val="24"/>
        </w:rPr>
        <w:t>1,</w:t>
      </w:r>
      <w:r w:rsidR="003A0602">
        <w:rPr>
          <w:sz w:val="24"/>
          <w:szCs w:val="24"/>
        </w:rPr>
        <w:t xml:space="preserve">1%, </w:t>
      </w:r>
      <w:r w:rsidR="002A5B18" w:rsidRPr="003A0602">
        <w:rPr>
          <w:sz w:val="24"/>
          <w:szCs w:val="24"/>
        </w:rPr>
        <w:t>mașini de spălat</w:t>
      </w:r>
      <w:r w:rsidRPr="003A0602">
        <w:rPr>
          <w:sz w:val="24"/>
          <w:szCs w:val="24"/>
        </w:rPr>
        <w:t xml:space="preserve"> – cu </w:t>
      </w:r>
      <w:r w:rsidR="002A5B18" w:rsidRPr="003A0602">
        <w:rPr>
          <w:sz w:val="24"/>
          <w:szCs w:val="24"/>
        </w:rPr>
        <w:t>1</w:t>
      </w:r>
      <w:r w:rsidRPr="003A0602">
        <w:rPr>
          <w:sz w:val="24"/>
          <w:szCs w:val="24"/>
        </w:rPr>
        <w:t xml:space="preserve">% etc. Totodată, s-au redus prețurile la medicamente – cu </w:t>
      </w:r>
      <w:r w:rsidR="002A5B18" w:rsidRPr="003A0602">
        <w:rPr>
          <w:sz w:val="24"/>
          <w:szCs w:val="24"/>
        </w:rPr>
        <w:t>0,2</w:t>
      </w:r>
      <w:r w:rsidRPr="003A0602">
        <w:rPr>
          <w:sz w:val="24"/>
          <w:szCs w:val="24"/>
        </w:rPr>
        <w:t xml:space="preserve">%, </w:t>
      </w:r>
      <w:r w:rsidR="002A5B18" w:rsidRPr="003A0602">
        <w:rPr>
          <w:sz w:val="24"/>
          <w:szCs w:val="24"/>
        </w:rPr>
        <w:t>combustibil</w:t>
      </w:r>
      <w:r w:rsidRPr="003A0602">
        <w:rPr>
          <w:sz w:val="24"/>
          <w:szCs w:val="24"/>
        </w:rPr>
        <w:t xml:space="preserve"> - cu </w:t>
      </w:r>
      <w:r w:rsidR="003A0602" w:rsidRPr="003A0602">
        <w:rPr>
          <w:sz w:val="24"/>
          <w:szCs w:val="24"/>
        </w:rPr>
        <w:t>0,1</w:t>
      </w:r>
      <w:r w:rsidRPr="003A0602">
        <w:rPr>
          <w:sz w:val="24"/>
          <w:szCs w:val="24"/>
        </w:rPr>
        <w:t>% etc.</w:t>
      </w:r>
    </w:p>
    <w:p w:rsidR="008649A8" w:rsidRPr="003A0602" w:rsidRDefault="008649A8" w:rsidP="008649A8">
      <w:pPr>
        <w:tabs>
          <w:tab w:val="left" w:pos="0"/>
        </w:tabs>
        <w:jc w:val="both"/>
        <w:rPr>
          <w:sz w:val="24"/>
          <w:szCs w:val="24"/>
        </w:rPr>
      </w:pPr>
    </w:p>
    <w:p w:rsidR="008649A8" w:rsidRPr="00E12BEA" w:rsidRDefault="008649A8" w:rsidP="008649A8">
      <w:pPr>
        <w:tabs>
          <w:tab w:val="left" w:pos="0"/>
        </w:tabs>
        <w:jc w:val="both"/>
        <w:rPr>
          <w:color w:val="000000" w:themeColor="text1"/>
          <w:sz w:val="24"/>
          <w:szCs w:val="24"/>
        </w:rPr>
      </w:pPr>
      <w:r w:rsidRPr="003A0602">
        <w:rPr>
          <w:color w:val="000000" w:themeColor="text1"/>
          <w:sz w:val="24"/>
          <w:szCs w:val="24"/>
        </w:rPr>
        <w:lastRenderedPageBreak/>
        <w:t xml:space="preserve">Fluctuațiile prețurilor la mărfurile nealimentare sînt determinate, în mare măsură, de evoluția cursului de schimb al monedei naționale. </w:t>
      </w:r>
      <w:r w:rsidRPr="00E12BEA">
        <w:rPr>
          <w:color w:val="000000" w:themeColor="text1"/>
          <w:sz w:val="24"/>
          <w:szCs w:val="24"/>
        </w:rPr>
        <w:t xml:space="preserve">Plus la aceasta, majorarea </w:t>
      </w:r>
      <w:r w:rsidR="00E12BEA" w:rsidRPr="00E12BEA">
        <w:rPr>
          <w:color w:val="000000" w:themeColor="text1"/>
          <w:sz w:val="24"/>
          <w:szCs w:val="24"/>
        </w:rPr>
        <w:t xml:space="preserve">prețurilor minime pentru țigările comercializate în R. Moldova, conform </w:t>
      </w:r>
      <w:proofErr w:type="spellStart"/>
      <w:r w:rsidR="00E12BEA" w:rsidRPr="00E12BEA">
        <w:rPr>
          <w:color w:val="000000" w:themeColor="text1"/>
          <w:sz w:val="24"/>
          <w:szCs w:val="24"/>
        </w:rPr>
        <w:t>Legei</w:t>
      </w:r>
      <w:proofErr w:type="spellEnd"/>
      <w:r w:rsidR="00E12BEA" w:rsidRPr="00E12BEA">
        <w:rPr>
          <w:color w:val="000000" w:themeColor="text1"/>
          <w:sz w:val="24"/>
          <w:szCs w:val="24"/>
        </w:rPr>
        <w:t xml:space="preserve"> bugetului de stat pentru anul 2019, a condiționat </w:t>
      </w:r>
      <w:r w:rsidRPr="00E12BEA">
        <w:rPr>
          <w:color w:val="000000" w:themeColor="text1"/>
          <w:sz w:val="24"/>
          <w:szCs w:val="24"/>
        </w:rPr>
        <w:t xml:space="preserve">majorarea prețurilor la </w:t>
      </w:r>
      <w:r w:rsidR="00E12BEA" w:rsidRPr="00E12BEA">
        <w:rPr>
          <w:color w:val="000000" w:themeColor="text1"/>
          <w:sz w:val="24"/>
          <w:szCs w:val="24"/>
        </w:rPr>
        <w:t>această categorie de mărfuri. </w:t>
      </w:r>
    </w:p>
    <w:p w:rsidR="008649A8" w:rsidRPr="00E12BEA" w:rsidRDefault="008649A8" w:rsidP="008649A8">
      <w:pPr>
        <w:tabs>
          <w:tab w:val="left" w:pos="0"/>
        </w:tabs>
        <w:jc w:val="both"/>
        <w:rPr>
          <w:color w:val="FF0000"/>
          <w:sz w:val="24"/>
          <w:szCs w:val="24"/>
        </w:rPr>
      </w:pPr>
    </w:p>
    <w:p w:rsidR="008649A8" w:rsidRPr="003A0602" w:rsidRDefault="008649A8" w:rsidP="008649A8">
      <w:pPr>
        <w:tabs>
          <w:tab w:val="left" w:pos="0"/>
        </w:tabs>
        <w:jc w:val="both"/>
        <w:rPr>
          <w:sz w:val="24"/>
          <w:szCs w:val="24"/>
        </w:rPr>
      </w:pPr>
      <w:r w:rsidRPr="003A0602">
        <w:rPr>
          <w:sz w:val="24"/>
          <w:szCs w:val="24"/>
        </w:rPr>
        <w:t>Contribuția prețurilor la mărfurile nealimentare asupra modificării IPC general a fost de 0,</w:t>
      </w:r>
      <w:r w:rsidR="003A0602" w:rsidRPr="003A0602">
        <w:rPr>
          <w:sz w:val="24"/>
          <w:szCs w:val="24"/>
        </w:rPr>
        <w:t>5</w:t>
      </w:r>
      <w:r w:rsidRPr="003A0602">
        <w:rPr>
          <w:sz w:val="24"/>
          <w:szCs w:val="24"/>
        </w:rPr>
        <w:t xml:space="preserve"> p.p. </w:t>
      </w:r>
      <w:r w:rsidR="003A0602" w:rsidRPr="003A0602">
        <w:rPr>
          <w:sz w:val="24"/>
          <w:szCs w:val="24"/>
        </w:rPr>
        <w:t>datorită creșterii prețurilor la</w:t>
      </w:r>
      <w:r w:rsidRPr="003A0602">
        <w:rPr>
          <w:sz w:val="24"/>
          <w:szCs w:val="24"/>
        </w:rPr>
        <w:t xml:space="preserve"> țigări.</w:t>
      </w:r>
    </w:p>
    <w:p w:rsidR="008649A8" w:rsidRPr="003A0602" w:rsidRDefault="008649A8" w:rsidP="008649A8">
      <w:pPr>
        <w:tabs>
          <w:tab w:val="left" w:pos="0"/>
        </w:tabs>
        <w:jc w:val="both"/>
        <w:rPr>
          <w:sz w:val="24"/>
          <w:szCs w:val="24"/>
        </w:rPr>
      </w:pPr>
    </w:p>
    <w:p w:rsidR="008649A8" w:rsidRPr="003A0602" w:rsidRDefault="008649A8" w:rsidP="008649A8">
      <w:pPr>
        <w:tabs>
          <w:tab w:val="left" w:pos="0"/>
        </w:tabs>
        <w:jc w:val="both"/>
        <w:rPr>
          <w:sz w:val="24"/>
          <w:szCs w:val="24"/>
        </w:rPr>
      </w:pPr>
      <w:r w:rsidRPr="003A0602">
        <w:rPr>
          <w:b/>
          <w:i/>
          <w:sz w:val="24"/>
          <w:szCs w:val="24"/>
        </w:rPr>
        <w:t>Tarifele la serviciile prestate populației</w:t>
      </w:r>
      <w:r w:rsidRPr="003A0602">
        <w:rPr>
          <w:sz w:val="24"/>
          <w:szCs w:val="24"/>
        </w:rPr>
        <w:t xml:space="preserve"> </w:t>
      </w:r>
      <w:r w:rsidRPr="003A0602">
        <w:rPr>
          <w:b/>
          <w:sz w:val="24"/>
          <w:szCs w:val="24"/>
        </w:rPr>
        <w:t xml:space="preserve">s-au </w:t>
      </w:r>
      <w:r w:rsidR="003A0602" w:rsidRPr="003A0602">
        <w:rPr>
          <w:b/>
          <w:sz w:val="24"/>
          <w:szCs w:val="24"/>
        </w:rPr>
        <w:t>major</w:t>
      </w:r>
      <w:r w:rsidRPr="003A0602">
        <w:rPr>
          <w:b/>
          <w:sz w:val="24"/>
          <w:szCs w:val="24"/>
        </w:rPr>
        <w:t xml:space="preserve">at cu </w:t>
      </w:r>
      <w:r w:rsidR="003A0602" w:rsidRPr="003A0602">
        <w:rPr>
          <w:b/>
          <w:sz w:val="24"/>
          <w:szCs w:val="24"/>
        </w:rPr>
        <w:t>0,</w:t>
      </w:r>
      <w:r w:rsidRPr="003A0602">
        <w:rPr>
          <w:b/>
          <w:sz w:val="24"/>
          <w:szCs w:val="24"/>
        </w:rPr>
        <w:t>2%</w:t>
      </w:r>
      <w:r w:rsidRPr="003A0602">
        <w:rPr>
          <w:sz w:val="24"/>
          <w:szCs w:val="24"/>
        </w:rPr>
        <w:t xml:space="preserve"> față de decembrie 201</w:t>
      </w:r>
      <w:r w:rsidR="00404F1F">
        <w:rPr>
          <w:sz w:val="24"/>
          <w:szCs w:val="24"/>
        </w:rPr>
        <w:t>8</w:t>
      </w:r>
      <w:r w:rsidR="003A0602" w:rsidRPr="003A0602">
        <w:rPr>
          <w:sz w:val="24"/>
          <w:szCs w:val="24"/>
        </w:rPr>
        <w:t>, fiind</w:t>
      </w:r>
      <w:r w:rsidRPr="003A0602">
        <w:rPr>
          <w:sz w:val="24"/>
          <w:szCs w:val="24"/>
        </w:rPr>
        <w:t xml:space="preserve">  cauzată, în mare parte, de </w:t>
      </w:r>
      <w:r w:rsidR="003A0602" w:rsidRPr="003A0602">
        <w:rPr>
          <w:sz w:val="24"/>
          <w:szCs w:val="24"/>
        </w:rPr>
        <w:t>majorarea</w:t>
      </w:r>
      <w:r w:rsidRPr="003A0602">
        <w:rPr>
          <w:sz w:val="24"/>
          <w:szCs w:val="24"/>
        </w:rPr>
        <w:t xml:space="preserve"> costuril</w:t>
      </w:r>
      <w:r w:rsidR="003A0602" w:rsidRPr="003A0602">
        <w:rPr>
          <w:sz w:val="24"/>
          <w:szCs w:val="24"/>
        </w:rPr>
        <w:t>or</w:t>
      </w:r>
      <w:r w:rsidRPr="003A0602">
        <w:rPr>
          <w:sz w:val="24"/>
          <w:szCs w:val="24"/>
        </w:rPr>
        <w:t xml:space="preserve"> la serviciile de</w:t>
      </w:r>
      <w:r w:rsidR="003A0602" w:rsidRPr="003A0602">
        <w:rPr>
          <w:sz w:val="24"/>
          <w:szCs w:val="24"/>
        </w:rPr>
        <w:t xml:space="preserve"> sănătate cu 1,8% și </w:t>
      </w:r>
      <w:r w:rsidRPr="003A0602">
        <w:rPr>
          <w:sz w:val="24"/>
          <w:szCs w:val="24"/>
        </w:rPr>
        <w:t>educați</w:t>
      </w:r>
      <w:r w:rsidR="00895CD0">
        <w:rPr>
          <w:sz w:val="24"/>
          <w:szCs w:val="24"/>
        </w:rPr>
        <w:t>e</w:t>
      </w:r>
      <w:r w:rsidRPr="003A0602">
        <w:rPr>
          <w:sz w:val="24"/>
          <w:szCs w:val="24"/>
        </w:rPr>
        <w:t xml:space="preserve"> și </w:t>
      </w:r>
      <w:proofErr w:type="spellStart"/>
      <w:r w:rsidRPr="003A0602">
        <w:rPr>
          <w:sz w:val="24"/>
          <w:szCs w:val="24"/>
        </w:rPr>
        <w:t>învățămînt</w:t>
      </w:r>
      <w:proofErr w:type="spellEnd"/>
      <w:r w:rsidRPr="003A0602">
        <w:rPr>
          <w:sz w:val="24"/>
          <w:szCs w:val="24"/>
        </w:rPr>
        <w:t xml:space="preserve"> – </w:t>
      </w:r>
      <w:r w:rsidR="003A0602" w:rsidRPr="003A0602">
        <w:rPr>
          <w:sz w:val="24"/>
          <w:szCs w:val="24"/>
        </w:rPr>
        <w:t>cu</w:t>
      </w:r>
      <w:r w:rsidRPr="003A0602">
        <w:rPr>
          <w:sz w:val="24"/>
          <w:szCs w:val="24"/>
        </w:rPr>
        <w:t xml:space="preserve"> </w:t>
      </w:r>
      <w:r w:rsidR="003A0602" w:rsidRPr="003A0602">
        <w:rPr>
          <w:sz w:val="24"/>
          <w:szCs w:val="24"/>
        </w:rPr>
        <w:t>1</w:t>
      </w:r>
      <w:r w:rsidRPr="003A0602">
        <w:rPr>
          <w:sz w:val="24"/>
          <w:szCs w:val="24"/>
        </w:rPr>
        <w:t xml:space="preserve">,7%. </w:t>
      </w:r>
    </w:p>
    <w:p w:rsidR="008649A8" w:rsidRPr="002C7323" w:rsidRDefault="008649A8" w:rsidP="008649A8">
      <w:pPr>
        <w:tabs>
          <w:tab w:val="left" w:pos="0"/>
        </w:tabs>
        <w:jc w:val="both"/>
        <w:rPr>
          <w:sz w:val="24"/>
          <w:szCs w:val="24"/>
        </w:rPr>
      </w:pPr>
    </w:p>
    <w:p w:rsidR="008649A8" w:rsidRPr="002C7323" w:rsidRDefault="008649A8" w:rsidP="008649A8">
      <w:pPr>
        <w:tabs>
          <w:tab w:val="left" w:pos="0"/>
        </w:tabs>
        <w:jc w:val="both"/>
        <w:rPr>
          <w:sz w:val="24"/>
          <w:szCs w:val="24"/>
        </w:rPr>
      </w:pPr>
      <w:r w:rsidRPr="002C7323">
        <w:rPr>
          <w:sz w:val="24"/>
          <w:szCs w:val="24"/>
        </w:rPr>
        <w:t xml:space="preserve">Per ansamblu, contribuția tarifelor la servicii asupra IPC general a fost </w:t>
      </w:r>
      <w:r w:rsidR="002C7323" w:rsidRPr="002C7323">
        <w:rPr>
          <w:sz w:val="24"/>
          <w:szCs w:val="24"/>
        </w:rPr>
        <w:t xml:space="preserve">neesențială </w:t>
      </w:r>
      <w:r w:rsidR="00404F1F">
        <w:rPr>
          <w:sz w:val="24"/>
          <w:szCs w:val="24"/>
        </w:rPr>
        <w:t>(</w:t>
      </w:r>
      <w:r w:rsidR="002C7323" w:rsidRPr="002C7323">
        <w:rPr>
          <w:sz w:val="24"/>
          <w:szCs w:val="24"/>
        </w:rPr>
        <w:t>0,1%</w:t>
      </w:r>
      <w:r w:rsidR="00404F1F">
        <w:rPr>
          <w:sz w:val="24"/>
          <w:szCs w:val="24"/>
        </w:rPr>
        <w:t>)</w:t>
      </w:r>
      <w:r w:rsidRPr="002C7323">
        <w:rPr>
          <w:sz w:val="24"/>
          <w:szCs w:val="24"/>
        </w:rPr>
        <w:t xml:space="preserve">. </w:t>
      </w:r>
    </w:p>
    <w:p w:rsidR="008649A8" w:rsidRPr="002C7323" w:rsidRDefault="008649A8" w:rsidP="008649A8">
      <w:pPr>
        <w:tabs>
          <w:tab w:val="left" w:pos="0"/>
        </w:tabs>
        <w:jc w:val="both"/>
        <w:rPr>
          <w:sz w:val="24"/>
          <w:szCs w:val="24"/>
        </w:rPr>
      </w:pPr>
    </w:p>
    <w:p w:rsidR="008649A8" w:rsidRPr="002C7323" w:rsidRDefault="008649A8" w:rsidP="008649A8">
      <w:pPr>
        <w:tabs>
          <w:tab w:val="left" w:pos="0"/>
        </w:tabs>
        <w:jc w:val="center"/>
        <w:rPr>
          <w:b/>
          <w:i/>
          <w:sz w:val="24"/>
          <w:szCs w:val="24"/>
        </w:rPr>
      </w:pPr>
      <w:r w:rsidRPr="002C7323">
        <w:rPr>
          <w:b/>
          <w:i/>
          <w:sz w:val="24"/>
          <w:szCs w:val="24"/>
        </w:rPr>
        <w:t xml:space="preserve">Contribuția principalelor componente la rata inflației, </w:t>
      </w:r>
    </w:p>
    <w:p w:rsidR="008649A8" w:rsidRPr="002C7323" w:rsidRDefault="008649A8" w:rsidP="008649A8">
      <w:pPr>
        <w:tabs>
          <w:tab w:val="left" w:pos="0"/>
        </w:tabs>
        <w:jc w:val="center"/>
        <w:rPr>
          <w:b/>
          <w:i/>
          <w:sz w:val="24"/>
          <w:szCs w:val="24"/>
        </w:rPr>
      </w:pPr>
      <w:r w:rsidRPr="002C7323">
        <w:rPr>
          <w:b/>
          <w:i/>
          <w:sz w:val="24"/>
          <w:szCs w:val="24"/>
        </w:rPr>
        <w:t xml:space="preserve">luna </w:t>
      </w:r>
      <w:r w:rsidR="00560128" w:rsidRPr="002C7323">
        <w:rPr>
          <w:b/>
          <w:i/>
          <w:sz w:val="24"/>
          <w:szCs w:val="24"/>
        </w:rPr>
        <w:t>ianuarie</w:t>
      </w:r>
      <w:r w:rsidRPr="002C7323">
        <w:rPr>
          <w:b/>
          <w:i/>
          <w:sz w:val="24"/>
          <w:szCs w:val="24"/>
        </w:rPr>
        <w:t xml:space="preserve"> față de decembrie a anului precedent </w:t>
      </w:r>
      <w:r w:rsidRPr="002C7323">
        <w:rPr>
          <w:i/>
          <w:sz w:val="24"/>
          <w:szCs w:val="24"/>
        </w:rPr>
        <w:t>(p.p.)</w:t>
      </w:r>
    </w:p>
    <w:p w:rsidR="008649A8" w:rsidRPr="002C7323" w:rsidRDefault="008649A8" w:rsidP="008649A8">
      <w:pPr>
        <w:tabs>
          <w:tab w:val="left" w:pos="1701"/>
        </w:tabs>
        <w:jc w:val="center"/>
        <w:rPr>
          <w:sz w:val="24"/>
          <w:szCs w:val="24"/>
        </w:rPr>
      </w:pPr>
      <w:r w:rsidRPr="002C7323">
        <w:rPr>
          <w:noProof/>
          <w:sz w:val="24"/>
          <w:szCs w:val="24"/>
          <w:lang w:val="en-US" w:eastAsia="en-US"/>
        </w:rPr>
        <w:drawing>
          <wp:inline distT="0" distB="0" distL="0" distR="0" wp14:anchorId="335EFD36" wp14:editId="5E24C360">
            <wp:extent cx="4606925" cy="3147060"/>
            <wp:effectExtent l="0" t="0" r="3175" b="0"/>
            <wp:docPr id="41" name="Chart 4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649A8" w:rsidRPr="002C7323" w:rsidRDefault="008649A8" w:rsidP="008649A8">
      <w:pPr>
        <w:tabs>
          <w:tab w:val="left" w:pos="1701"/>
        </w:tabs>
        <w:ind w:firstLine="567"/>
        <w:jc w:val="both"/>
        <w:rPr>
          <w:i/>
          <w:iCs/>
        </w:rPr>
      </w:pPr>
      <w:r w:rsidRPr="002C7323">
        <w:rPr>
          <w:i/>
          <w:iCs/>
        </w:rPr>
        <w:t>Sursă: Biroul Naţional de Statistică</w:t>
      </w:r>
    </w:p>
    <w:p w:rsidR="008649A8" w:rsidRPr="002C7323" w:rsidRDefault="008649A8" w:rsidP="008649A8">
      <w:pPr>
        <w:tabs>
          <w:tab w:val="left" w:pos="1701"/>
        </w:tabs>
        <w:ind w:firstLine="567"/>
        <w:jc w:val="both"/>
        <w:rPr>
          <w:i/>
          <w:iCs/>
        </w:rPr>
      </w:pPr>
      <w:r w:rsidRPr="002C7323">
        <w:rPr>
          <w:i/>
          <w:iCs/>
        </w:rPr>
        <w:t>Calculele Ministerului Economiei și Infrastructurii</w:t>
      </w:r>
    </w:p>
    <w:p w:rsidR="008649A8" w:rsidRPr="003F5E33" w:rsidRDefault="008649A8" w:rsidP="008649A8">
      <w:pPr>
        <w:tabs>
          <w:tab w:val="left" w:pos="1701"/>
        </w:tabs>
        <w:jc w:val="both"/>
        <w:rPr>
          <w:bCs/>
          <w:iCs/>
          <w:sz w:val="24"/>
          <w:szCs w:val="24"/>
        </w:rPr>
      </w:pPr>
    </w:p>
    <w:p w:rsidR="008649A8" w:rsidRPr="003F5E33" w:rsidRDefault="008649A8" w:rsidP="008649A8">
      <w:pPr>
        <w:tabs>
          <w:tab w:val="left" w:pos="1701"/>
        </w:tabs>
        <w:jc w:val="both"/>
        <w:rPr>
          <w:b/>
          <w:i/>
          <w:sz w:val="24"/>
          <w:szCs w:val="24"/>
        </w:rPr>
      </w:pPr>
      <w:r w:rsidRPr="003F5E33">
        <w:rPr>
          <w:bCs/>
          <w:iCs/>
          <w:sz w:val="24"/>
          <w:szCs w:val="24"/>
        </w:rPr>
        <w:t xml:space="preserve">Rata </w:t>
      </w:r>
      <w:r w:rsidRPr="003F5E33">
        <w:rPr>
          <w:b/>
          <w:bCs/>
          <w:iCs/>
          <w:sz w:val="24"/>
          <w:szCs w:val="24"/>
        </w:rPr>
        <w:t>inflației de bază</w:t>
      </w:r>
      <w:r w:rsidRPr="003F5E33">
        <w:rPr>
          <w:rStyle w:val="FootnoteReference"/>
          <w:bCs/>
          <w:iCs/>
          <w:sz w:val="24"/>
          <w:szCs w:val="24"/>
        </w:rPr>
        <w:footnoteReference w:id="1"/>
      </w:r>
      <w:r w:rsidRPr="003F5E33">
        <w:rPr>
          <w:b/>
          <w:bCs/>
          <w:i/>
          <w:iCs/>
          <w:sz w:val="24"/>
          <w:szCs w:val="24"/>
        </w:rPr>
        <w:t xml:space="preserve"> </w:t>
      </w:r>
      <w:r w:rsidRPr="003F5E33">
        <w:rPr>
          <w:bCs/>
          <w:i/>
          <w:iCs/>
          <w:sz w:val="24"/>
          <w:szCs w:val="24"/>
        </w:rPr>
        <w:t xml:space="preserve">exclusiv produse alimentare și băuturi, combustibili, produse şi servicii cu prețuri reglementate </w:t>
      </w:r>
      <w:r w:rsidRPr="003F5E33">
        <w:rPr>
          <w:sz w:val="24"/>
          <w:szCs w:val="24"/>
        </w:rPr>
        <w:t xml:space="preserve">a fost </w:t>
      </w:r>
      <w:r w:rsidR="003F5E33" w:rsidRPr="003F5E33">
        <w:rPr>
          <w:sz w:val="24"/>
          <w:szCs w:val="24"/>
        </w:rPr>
        <w:t>1,8</w:t>
      </w:r>
      <w:r w:rsidRPr="003F5E33">
        <w:rPr>
          <w:sz w:val="24"/>
          <w:szCs w:val="24"/>
        </w:rPr>
        <w:t>% fată de decembrie 201</w:t>
      </w:r>
      <w:r w:rsidR="003F5E33" w:rsidRPr="003F5E33">
        <w:rPr>
          <w:sz w:val="24"/>
          <w:szCs w:val="24"/>
        </w:rPr>
        <w:t>8</w:t>
      </w:r>
      <w:r w:rsidRPr="003F5E33">
        <w:rPr>
          <w:sz w:val="24"/>
          <w:szCs w:val="24"/>
        </w:rPr>
        <w:t xml:space="preserve">, cu </w:t>
      </w:r>
      <w:r w:rsidR="003F5E33" w:rsidRPr="003F5E33">
        <w:rPr>
          <w:sz w:val="24"/>
          <w:szCs w:val="24"/>
        </w:rPr>
        <w:t>1,7</w:t>
      </w:r>
      <w:r w:rsidRPr="003F5E33">
        <w:rPr>
          <w:sz w:val="24"/>
          <w:szCs w:val="24"/>
        </w:rPr>
        <w:t xml:space="preserve"> p.p. mai m</w:t>
      </w:r>
      <w:r w:rsidR="003F5E33" w:rsidRPr="003F5E33">
        <w:rPr>
          <w:sz w:val="24"/>
          <w:szCs w:val="24"/>
        </w:rPr>
        <w:t>are</w:t>
      </w:r>
      <w:r w:rsidRPr="003F5E33">
        <w:rPr>
          <w:sz w:val="24"/>
          <w:szCs w:val="24"/>
        </w:rPr>
        <w:t xml:space="preserve"> decît nivelul ratei inflației de bază în luna respectivă a anului 201</w:t>
      </w:r>
      <w:r w:rsidR="003F5E33" w:rsidRPr="003F5E33">
        <w:rPr>
          <w:sz w:val="24"/>
          <w:szCs w:val="24"/>
        </w:rPr>
        <w:t>8</w:t>
      </w:r>
      <w:r w:rsidRPr="003F5E33">
        <w:rPr>
          <w:sz w:val="24"/>
          <w:szCs w:val="24"/>
        </w:rPr>
        <w:t xml:space="preserve">. </w:t>
      </w:r>
      <w:r w:rsidR="003F5E33" w:rsidRPr="003F5E33">
        <w:rPr>
          <w:sz w:val="24"/>
          <w:szCs w:val="24"/>
        </w:rPr>
        <w:t xml:space="preserve">Rata inflației </w:t>
      </w:r>
      <w:r w:rsidR="003F5E33" w:rsidRPr="003F5E33">
        <w:rPr>
          <w:i/>
          <w:sz w:val="24"/>
          <w:szCs w:val="24"/>
        </w:rPr>
        <w:t>exclusiv produse alimentare și băuturi</w:t>
      </w:r>
      <w:r w:rsidR="003F5E33" w:rsidRPr="003F5E33">
        <w:rPr>
          <w:sz w:val="24"/>
          <w:szCs w:val="24"/>
        </w:rPr>
        <w:t xml:space="preserve"> a fost 1%, </w:t>
      </w:r>
      <w:r w:rsidR="003F5E33" w:rsidRPr="003F5E33">
        <w:rPr>
          <w:bCs/>
          <w:i/>
          <w:iCs/>
          <w:sz w:val="24"/>
          <w:szCs w:val="24"/>
        </w:rPr>
        <w:t>exclusiv combustibil</w:t>
      </w:r>
      <w:r w:rsidR="003F5E33" w:rsidRPr="003F5E33">
        <w:rPr>
          <w:sz w:val="24"/>
          <w:szCs w:val="24"/>
        </w:rPr>
        <w:t xml:space="preserve"> – 1,4%. </w:t>
      </w:r>
      <w:r w:rsidRPr="003F5E33">
        <w:rPr>
          <w:sz w:val="24"/>
          <w:szCs w:val="24"/>
        </w:rPr>
        <w:t xml:space="preserve">Rata inflației </w:t>
      </w:r>
      <w:r w:rsidRPr="003F5E33">
        <w:rPr>
          <w:bCs/>
          <w:i/>
          <w:iCs/>
          <w:sz w:val="24"/>
          <w:szCs w:val="24"/>
        </w:rPr>
        <w:t>exclusiv produse și servicii cu prețuri reglementate</w:t>
      </w:r>
      <w:r w:rsidRPr="003F5E33">
        <w:rPr>
          <w:sz w:val="24"/>
          <w:szCs w:val="24"/>
        </w:rPr>
        <w:t xml:space="preserve"> a constituit </w:t>
      </w:r>
      <w:r w:rsidR="003F5E33" w:rsidRPr="003F5E33">
        <w:rPr>
          <w:sz w:val="24"/>
          <w:szCs w:val="24"/>
        </w:rPr>
        <w:t>1</w:t>
      </w:r>
      <w:r w:rsidRPr="003F5E33">
        <w:rPr>
          <w:sz w:val="24"/>
          <w:szCs w:val="24"/>
        </w:rPr>
        <w:t>,6%. Prețurile la produse şi servicii reglementate s-au majorat cu 0,</w:t>
      </w:r>
      <w:r w:rsidR="003F5E33" w:rsidRPr="003F5E33">
        <w:rPr>
          <w:sz w:val="24"/>
          <w:szCs w:val="24"/>
        </w:rPr>
        <w:t>1</w:t>
      </w:r>
      <w:r w:rsidRPr="003F5E33">
        <w:rPr>
          <w:sz w:val="24"/>
          <w:szCs w:val="24"/>
        </w:rPr>
        <w:t>% faţă de decembrie 201</w:t>
      </w:r>
      <w:r w:rsidR="003F5E33" w:rsidRPr="003F5E33">
        <w:rPr>
          <w:sz w:val="24"/>
          <w:szCs w:val="24"/>
        </w:rPr>
        <w:t>8</w:t>
      </w:r>
      <w:r w:rsidRPr="003F5E33">
        <w:rPr>
          <w:sz w:val="24"/>
          <w:szCs w:val="24"/>
        </w:rPr>
        <w:t xml:space="preserve">. </w:t>
      </w:r>
    </w:p>
    <w:p w:rsidR="008649A8" w:rsidRDefault="008649A8" w:rsidP="008649A8">
      <w:pPr>
        <w:tabs>
          <w:tab w:val="center" w:pos="4818"/>
          <w:tab w:val="left" w:pos="6900"/>
        </w:tabs>
        <w:rPr>
          <w:b/>
          <w:bCs/>
          <w:i/>
          <w:iCs/>
          <w:color w:val="000000" w:themeColor="text1"/>
          <w:sz w:val="24"/>
          <w:szCs w:val="24"/>
        </w:rPr>
      </w:pPr>
      <w:r w:rsidRPr="003F5E33">
        <w:rPr>
          <w:b/>
          <w:bCs/>
          <w:i/>
          <w:iCs/>
          <w:color w:val="000000" w:themeColor="text1"/>
          <w:sz w:val="24"/>
          <w:szCs w:val="24"/>
        </w:rPr>
        <w:tab/>
      </w:r>
    </w:p>
    <w:p w:rsidR="00895CD0" w:rsidRDefault="00895CD0" w:rsidP="008649A8">
      <w:pPr>
        <w:tabs>
          <w:tab w:val="center" w:pos="4818"/>
          <w:tab w:val="left" w:pos="6900"/>
        </w:tabs>
        <w:rPr>
          <w:b/>
          <w:bCs/>
          <w:i/>
          <w:iCs/>
          <w:color w:val="000000" w:themeColor="text1"/>
          <w:sz w:val="24"/>
          <w:szCs w:val="24"/>
        </w:rPr>
      </w:pPr>
    </w:p>
    <w:p w:rsidR="00895CD0" w:rsidRDefault="00895CD0" w:rsidP="008649A8">
      <w:pPr>
        <w:tabs>
          <w:tab w:val="center" w:pos="4818"/>
          <w:tab w:val="left" w:pos="6900"/>
        </w:tabs>
        <w:rPr>
          <w:b/>
          <w:bCs/>
          <w:i/>
          <w:iCs/>
          <w:color w:val="000000" w:themeColor="text1"/>
          <w:sz w:val="24"/>
          <w:szCs w:val="24"/>
        </w:rPr>
      </w:pPr>
    </w:p>
    <w:p w:rsidR="00895CD0" w:rsidRDefault="00895CD0" w:rsidP="008649A8">
      <w:pPr>
        <w:tabs>
          <w:tab w:val="center" w:pos="4818"/>
          <w:tab w:val="left" w:pos="6900"/>
        </w:tabs>
        <w:rPr>
          <w:b/>
          <w:bCs/>
          <w:i/>
          <w:iCs/>
          <w:color w:val="000000" w:themeColor="text1"/>
          <w:sz w:val="24"/>
          <w:szCs w:val="24"/>
        </w:rPr>
      </w:pPr>
    </w:p>
    <w:p w:rsidR="00895CD0" w:rsidRDefault="00895CD0" w:rsidP="008649A8">
      <w:pPr>
        <w:tabs>
          <w:tab w:val="center" w:pos="4818"/>
          <w:tab w:val="left" w:pos="6900"/>
        </w:tabs>
        <w:rPr>
          <w:b/>
          <w:bCs/>
          <w:i/>
          <w:iCs/>
          <w:color w:val="000000" w:themeColor="text1"/>
          <w:sz w:val="24"/>
          <w:szCs w:val="24"/>
        </w:rPr>
      </w:pPr>
    </w:p>
    <w:p w:rsidR="00895CD0" w:rsidRDefault="00895CD0" w:rsidP="008649A8">
      <w:pPr>
        <w:tabs>
          <w:tab w:val="center" w:pos="4818"/>
          <w:tab w:val="left" w:pos="6900"/>
        </w:tabs>
        <w:rPr>
          <w:b/>
          <w:bCs/>
          <w:i/>
          <w:iCs/>
          <w:color w:val="000000" w:themeColor="text1"/>
          <w:sz w:val="24"/>
          <w:szCs w:val="24"/>
        </w:rPr>
      </w:pPr>
    </w:p>
    <w:p w:rsidR="00895CD0" w:rsidRPr="003F5E33" w:rsidRDefault="00895CD0" w:rsidP="008649A8">
      <w:pPr>
        <w:tabs>
          <w:tab w:val="center" w:pos="4818"/>
          <w:tab w:val="left" w:pos="6900"/>
        </w:tabs>
        <w:rPr>
          <w:b/>
          <w:bCs/>
          <w:i/>
          <w:iCs/>
          <w:color w:val="000000" w:themeColor="text1"/>
          <w:sz w:val="24"/>
          <w:szCs w:val="24"/>
        </w:rPr>
      </w:pPr>
    </w:p>
    <w:p w:rsidR="008649A8" w:rsidRPr="003F5E33" w:rsidRDefault="008649A8" w:rsidP="008649A8">
      <w:pPr>
        <w:tabs>
          <w:tab w:val="center" w:pos="4818"/>
          <w:tab w:val="left" w:pos="6900"/>
        </w:tabs>
        <w:jc w:val="center"/>
        <w:rPr>
          <w:b/>
          <w:bCs/>
          <w:i/>
          <w:iCs/>
          <w:color w:val="FF0000"/>
          <w:sz w:val="24"/>
          <w:szCs w:val="24"/>
        </w:rPr>
      </w:pPr>
      <w:r w:rsidRPr="003F5E33">
        <w:rPr>
          <w:b/>
          <w:bCs/>
          <w:i/>
          <w:iCs/>
          <w:color w:val="000000"/>
          <w:sz w:val="24"/>
          <w:szCs w:val="24"/>
        </w:rPr>
        <w:lastRenderedPageBreak/>
        <w:t>Dinamica ratei anuale a inflației</w:t>
      </w:r>
    </w:p>
    <w:p w:rsidR="008649A8" w:rsidRPr="003F5E33" w:rsidRDefault="008649A8" w:rsidP="008649A8">
      <w:pPr>
        <w:jc w:val="center"/>
        <w:rPr>
          <w:sz w:val="24"/>
          <w:szCs w:val="24"/>
        </w:rPr>
      </w:pPr>
      <w:r w:rsidRPr="003F5E33">
        <w:rPr>
          <w:i/>
          <w:iCs/>
          <w:sz w:val="24"/>
          <w:szCs w:val="24"/>
        </w:rPr>
        <w:t>(fată de luna respectivă a anului precedent),</w:t>
      </w:r>
      <w:r w:rsidRPr="003F5E33">
        <w:rPr>
          <w:b/>
          <w:bCs/>
          <w:i/>
          <w:iCs/>
          <w:sz w:val="24"/>
          <w:szCs w:val="24"/>
        </w:rPr>
        <w:t xml:space="preserve"> %</w:t>
      </w:r>
      <w:r w:rsidRPr="003F5E33">
        <w:rPr>
          <w:b/>
          <w:bCs/>
          <w:i/>
          <w:iCs/>
        </w:rPr>
        <w:t xml:space="preserve">      </w:t>
      </w:r>
      <w:r w:rsidRPr="003F5E33">
        <w:rPr>
          <w:noProof/>
          <w:sz w:val="24"/>
          <w:szCs w:val="24"/>
          <w:lang w:val="en-US" w:eastAsia="en-US"/>
        </w:rPr>
        <w:drawing>
          <wp:inline distT="0" distB="0" distL="0" distR="0" wp14:anchorId="43683402" wp14:editId="0FA00D6B">
            <wp:extent cx="6321425" cy="2209800"/>
            <wp:effectExtent l="0" t="0" r="3175" b="0"/>
            <wp:docPr id="44" name="Chart 4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649A8" w:rsidRPr="003F5E33" w:rsidRDefault="008649A8" w:rsidP="008649A8">
      <w:pPr>
        <w:tabs>
          <w:tab w:val="left" w:pos="1701"/>
        </w:tabs>
        <w:jc w:val="both"/>
        <w:rPr>
          <w:i/>
          <w:iCs/>
        </w:rPr>
      </w:pPr>
      <w:r w:rsidRPr="003F5E33">
        <w:rPr>
          <w:i/>
          <w:iCs/>
        </w:rPr>
        <w:t>Sursă: Biroul Naţional de Statistică</w:t>
      </w:r>
    </w:p>
    <w:p w:rsidR="008649A8" w:rsidRPr="003F5E33" w:rsidRDefault="008649A8" w:rsidP="008649A8">
      <w:pPr>
        <w:tabs>
          <w:tab w:val="left" w:pos="1701"/>
        </w:tabs>
        <w:jc w:val="both"/>
        <w:rPr>
          <w:sz w:val="24"/>
          <w:szCs w:val="24"/>
        </w:rPr>
      </w:pPr>
    </w:p>
    <w:p w:rsidR="008649A8" w:rsidRPr="00AA75FB" w:rsidRDefault="008649A8" w:rsidP="008649A8">
      <w:pPr>
        <w:tabs>
          <w:tab w:val="left" w:pos="1701"/>
        </w:tabs>
        <w:jc w:val="both"/>
        <w:rPr>
          <w:b/>
          <w:bCs/>
          <w:sz w:val="24"/>
          <w:szCs w:val="24"/>
        </w:rPr>
      </w:pPr>
    </w:p>
    <w:p w:rsidR="008649A8" w:rsidRPr="00AA75FB" w:rsidRDefault="008649A8" w:rsidP="008649A8">
      <w:pPr>
        <w:tabs>
          <w:tab w:val="left" w:pos="1701"/>
        </w:tabs>
        <w:jc w:val="both"/>
        <w:rPr>
          <w:b/>
          <w:bCs/>
          <w:sz w:val="24"/>
          <w:szCs w:val="24"/>
        </w:rPr>
      </w:pPr>
      <w:r w:rsidRPr="00AA75FB">
        <w:rPr>
          <w:b/>
          <w:bCs/>
          <w:sz w:val="24"/>
          <w:szCs w:val="24"/>
        </w:rPr>
        <w:t>Cursul de schimb şi piaţa valutară</w:t>
      </w:r>
    </w:p>
    <w:p w:rsidR="008649A8" w:rsidRPr="00AA75FB" w:rsidRDefault="008649A8" w:rsidP="008649A8">
      <w:pPr>
        <w:tabs>
          <w:tab w:val="left" w:pos="1701"/>
        </w:tabs>
        <w:jc w:val="both"/>
        <w:rPr>
          <w:sz w:val="24"/>
        </w:rPr>
      </w:pPr>
    </w:p>
    <w:p w:rsidR="00AA75FB" w:rsidRPr="00AA75FB" w:rsidRDefault="00AA75FB" w:rsidP="00AA75FB">
      <w:pPr>
        <w:jc w:val="both"/>
        <w:rPr>
          <w:color w:val="000000" w:themeColor="text1"/>
          <w:sz w:val="24"/>
          <w:szCs w:val="24"/>
        </w:rPr>
      </w:pPr>
      <w:r w:rsidRPr="006A2723">
        <w:rPr>
          <w:bCs/>
          <w:sz w:val="24"/>
          <w:szCs w:val="24"/>
        </w:rPr>
        <w:t>De la începutul anului 201</w:t>
      </w:r>
      <w:r>
        <w:rPr>
          <w:bCs/>
          <w:sz w:val="24"/>
          <w:szCs w:val="24"/>
        </w:rPr>
        <w:t>9</w:t>
      </w:r>
      <w:r w:rsidRPr="006A2723">
        <w:rPr>
          <w:bCs/>
          <w:sz w:val="24"/>
          <w:szCs w:val="24"/>
        </w:rPr>
        <w:t xml:space="preserve"> moneda naţională a marcat o apreciere de 0,3% faţă de dolarul SUA în termeni nominali (de la 17,14 lei pentru 1 dolar american la 01.01.2019 pînă la 17,10 lei la 31.01.2019). Faţă de Euro leul moldovenesc s-a depreciat cu 0,</w:t>
      </w:r>
      <w:r w:rsidR="007F7316">
        <w:rPr>
          <w:bCs/>
          <w:sz w:val="24"/>
          <w:szCs w:val="24"/>
        </w:rPr>
        <w:t>2</w:t>
      </w:r>
      <w:r w:rsidRPr="006A2723">
        <w:rPr>
          <w:bCs/>
          <w:sz w:val="24"/>
          <w:szCs w:val="24"/>
        </w:rPr>
        <w:t xml:space="preserve">%. </w:t>
      </w:r>
      <w:r w:rsidRPr="00AA75FB">
        <w:rPr>
          <w:color w:val="000000" w:themeColor="text1"/>
          <w:sz w:val="24"/>
          <w:szCs w:val="24"/>
        </w:rPr>
        <w:t xml:space="preserve">Principalii factori care au determinat fluctuațiile  monedei naționale au fost intrările </w:t>
      </w:r>
      <w:r w:rsidR="00023878">
        <w:rPr>
          <w:color w:val="000000" w:themeColor="text1"/>
          <w:sz w:val="24"/>
          <w:szCs w:val="24"/>
        </w:rPr>
        <w:t>d</w:t>
      </w:r>
      <w:r w:rsidRPr="00AA75FB">
        <w:rPr>
          <w:color w:val="000000" w:themeColor="text1"/>
          <w:sz w:val="24"/>
          <w:szCs w:val="24"/>
        </w:rPr>
        <w:t xml:space="preserve">e valută străină datorită exporturilor, remiterilor valutare de peste hotare și investițiilor, </w:t>
      </w:r>
      <w:proofErr w:type="spellStart"/>
      <w:r w:rsidRPr="00AA75FB">
        <w:rPr>
          <w:color w:val="000000" w:themeColor="text1"/>
          <w:sz w:val="24"/>
          <w:szCs w:val="24"/>
        </w:rPr>
        <w:t>oscilaţiile</w:t>
      </w:r>
      <w:proofErr w:type="spellEnd"/>
      <w:r w:rsidRPr="00AA75FB">
        <w:rPr>
          <w:color w:val="000000" w:themeColor="text1"/>
          <w:sz w:val="24"/>
          <w:szCs w:val="24"/>
        </w:rPr>
        <w:t xml:space="preserve"> dolarului SUA pe </w:t>
      </w:r>
      <w:proofErr w:type="spellStart"/>
      <w:r w:rsidRPr="00AA75FB">
        <w:rPr>
          <w:color w:val="000000" w:themeColor="text1"/>
          <w:sz w:val="24"/>
          <w:szCs w:val="24"/>
        </w:rPr>
        <w:t>pieţele</w:t>
      </w:r>
      <w:proofErr w:type="spellEnd"/>
      <w:r w:rsidRPr="00AA75FB">
        <w:rPr>
          <w:color w:val="000000" w:themeColor="text1"/>
          <w:sz w:val="24"/>
          <w:szCs w:val="24"/>
        </w:rPr>
        <w:t xml:space="preserve"> valutare internaţionale și politica monetară a BNM.</w:t>
      </w:r>
    </w:p>
    <w:p w:rsidR="00AA75FB" w:rsidRPr="00787E80" w:rsidRDefault="00AA75FB" w:rsidP="00AA75FB">
      <w:pPr>
        <w:jc w:val="both"/>
        <w:rPr>
          <w:bCs/>
          <w:sz w:val="24"/>
          <w:szCs w:val="24"/>
        </w:rPr>
      </w:pPr>
    </w:p>
    <w:p w:rsidR="008649A8" w:rsidRPr="00787E80" w:rsidRDefault="008649A8" w:rsidP="008649A8">
      <w:pPr>
        <w:jc w:val="center"/>
        <w:rPr>
          <w:b/>
          <w:bCs/>
          <w:i/>
          <w:iCs/>
          <w:sz w:val="24"/>
          <w:szCs w:val="24"/>
        </w:rPr>
      </w:pPr>
      <w:r w:rsidRPr="00787E80">
        <w:rPr>
          <w:b/>
          <w:bCs/>
          <w:i/>
          <w:iCs/>
          <w:sz w:val="24"/>
          <w:szCs w:val="24"/>
        </w:rPr>
        <w:t>Evoluţia cursului de schimb al monedei naţionale</w:t>
      </w:r>
    </w:p>
    <w:p w:rsidR="008649A8" w:rsidRPr="00787E80" w:rsidRDefault="008649A8" w:rsidP="008649A8">
      <w:pPr>
        <w:tabs>
          <w:tab w:val="left" w:pos="360"/>
        </w:tabs>
        <w:jc w:val="center"/>
        <w:rPr>
          <w:i/>
          <w:iCs/>
          <w:sz w:val="24"/>
          <w:szCs w:val="24"/>
        </w:rPr>
      </w:pPr>
      <w:r w:rsidRPr="00787E80">
        <w:rPr>
          <w:b/>
          <w:bCs/>
          <w:i/>
          <w:iCs/>
          <w:sz w:val="24"/>
          <w:szCs w:val="24"/>
        </w:rPr>
        <w:t xml:space="preserve">faţă de dolarul SUA şi Euro, </w:t>
      </w:r>
      <w:r w:rsidRPr="00787E80">
        <w:rPr>
          <w:i/>
          <w:iCs/>
          <w:sz w:val="24"/>
          <w:szCs w:val="24"/>
        </w:rPr>
        <w:t>Lei/USD, Lei/EUR</w:t>
      </w:r>
    </w:p>
    <w:p w:rsidR="008649A8" w:rsidRPr="00787E80" w:rsidRDefault="008649A8" w:rsidP="008649A8">
      <w:pPr>
        <w:tabs>
          <w:tab w:val="left" w:pos="360"/>
        </w:tabs>
        <w:jc w:val="center"/>
        <w:rPr>
          <w:i/>
          <w:iCs/>
          <w:sz w:val="24"/>
          <w:szCs w:val="24"/>
        </w:rPr>
      </w:pPr>
      <w:r w:rsidRPr="00787E80">
        <w:rPr>
          <w:i/>
          <w:iCs/>
          <w:noProof/>
          <w:sz w:val="24"/>
          <w:szCs w:val="24"/>
          <w:lang w:val="en-US" w:eastAsia="en-US"/>
        </w:rPr>
        <w:drawing>
          <wp:inline distT="0" distB="0" distL="0" distR="0" wp14:anchorId="0A2F6970" wp14:editId="28793DFD">
            <wp:extent cx="6445250" cy="21336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649A8" w:rsidRPr="00787E80" w:rsidRDefault="008649A8" w:rsidP="008649A8">
      <w:pPr>
        <w:tabs>
          <w:tab w:val="left" w:pos="1701"/>
        </w:tabs>
        <w:jc w:val="both"/>
        <w:rPr>
          <w:b/>
          <w:i/>
          <w:sz w:val="2"/>
          <w:szCs w:val="2"/>
        </w:rPr>
      </w:pPr>
    </w:p>
    <w:p w:rsidR="008649A8" w:rsidRPr="00787E80" w:rsidRDefault="008649A8" w:rsidP="008649A8">
      <w:pPr>
        <w:jc w:val="both"/>
        <w:rPr>
          <w:i/>
          <w:iCs/>
        </w:rPr>
      </w:pPr>
      <w:r w:rsidRPr="00787E80">
        <w:rPr>
          <w:i/>
          <w:iCs/>
        </w:rPr>
        <w:t>Sursă: Banca Naţională a Moldovei</w:t>
      </w:r>
    </w:p>
    <w:p w:rsidR="00117310" w:rsidRPr="005E485F" w:rsidRDefault="00117310" w:rsidP="00117310">
      <w:pPr>
        <w:jc w:val="both"/>
        <w:rPr>
          <w:sz w:val="24"/>
          <w:szCs w:val="24"/>
          <w:lang w:eastAsia="x-none"/>
        </w:rPr>
      </w:pPr>
    </w:p>
    <w:p w:rsidR="00117310" w:rsidRPr="005E485F" w:rsidRDefault="00895CD0" w:rsidP="00117310">
      <w:pPr>
        <w:jc w:val="both"/>
        <w:rPr>
          <w:sz w:val="24"/>
          <w:szCs w:val="24"/>
        </w:rPr>
      </w:pPr>
      <w:r w:rsidRPr="00251C07">
        <w:rPr>
          <w:sz w:val="24"/>
          <w:szCs w:val="24"/>
        </w:rPr>
        <w:t xml:space="preserve">Oferta de valută de la persoanele fizice este în diminuare. </w:t>
      </w:r>
      <w:r w:rsidR="00117310" w:rsidRPr="00251C07">
        <w:rPr>
          <w:sz w:val="24"/>
          <w:szCs w:val="24"/>
        </w:rPr>
        <w:t xml:space="preserve">În </w:t>
      </w:r>
      <w:r w:rsidR="005E485F" w:rsidRPr="00251C07">
        <w:rPr>
          <w:sz w:val="24"/>
          <w:szCs w:val="24"/>
        </w:rPr>
        <w:t>ianuarie</w:t>
      </w:r>
      <w:r w:rsidR="00117310" w:rsidRPr="00251C07">
        <w:rPr>
          <w:sz w:val="24"/>
          <w:szCs w:val="24"/>
        </w:rPr>
        <w:t xml:space="preserve"> 2018, </w:t>
      </w:r>
      <w:r w:rsidR="00117310" w:rsidRPr="00251C07">
        <w:rPr>
          <w:b/>
          <w:bCs/>
          <w:i/>
          <w:iCs/>
          <w:sz w:val="24"/>
          <w:szCs w:val="24"/>
        </w:rPr>
        <w:t>gradul de acoperire a cererii nete de valută</w:t>
      </w:r>
      <w:r w:rsidR="00117310" w:rsidRPr="00251C07">
        <w:rPr>
          <w:sz w:val="24"/>
          <w:szCs w:val="24"/>
        </w:rPr>
        <w:t xml:space="preserve"> din partea agenților economici prin oferta netă de valută de la persoanele fizice a constituit </w:t>
      </w:r>
      <w:r w:rsidR="005E485F" w:rsidRPr="00251C07">
        <w:rPr>
          <w:sz w:val="24"/>
          <w:szCs w:val="24"/>
        </w:rPr>
        <w:t>6</w:t>
      </w:r>
      <w:r w:rsidR="005E6F6B" w:rsidRPr="00251C07">
        <w:rPr>
          <w:sz w:val="24"/>
          <w:szCs w:val="24"/>
        </w:rPr>
        <w:t>1,</w:t>
      </w:r>
      <w:r w:rsidR="005E485F" w:rsidRPr="00251C07">
        <w:rPr>
          <w:sz w:val="24"/>
          <w:szCs w:val="24"/>
        </w:rPr>
        <w:t>2</w:t>
      </w:r>
      <w:r w:rsidR="00117310" w:rsidRPr="00251C07">
        <w:rPr>
          <w:sz w:val="24"/>
          <w:szCs w:val="24"/>
        </w:rPr>
        <w:t>%, comparativ cu 1</w:t>
      </w:r>
      <w:r w:rsidR="005E6F6B" w:rsidRPr="00251C07">
        <w:rPr>
          <w:sz w:val="24"/>
          <w:szCs w:val="24"/>
        </w:rPr>
        <w:t>1</w:t>
      </w:r>
      <w:r w:rsidR="005E485F" w:rsidRPr="00251C07">
        <w:rPr>
          <w:sz w:val="24"/>
          <w:szCs w:val="24"/>
        </w:rPr>
        <w:t>7</w:t>
      </w:r>
      <w:r w:rsidR="005E6F6B" w:rsidRPr="00251C07">
        <w:rPr>
          <w:sz w:val="24"/>
          <w:szCs w:val="24"/>
        </w:rPr>
        <w:t>,</w:t>
      </w:r>
      <w:r w:rsidR="005E485F" w:rsidRPr="00251C07">
        <w:rPr>
          <w:sz w:val="24"/>
          <w:szCs w:val="24"/>
        </w:rPr>
        <w:t>2</w:t>
      </w:r>
      <w:r w:rsidR="00117310" w:rsidRPr="00251C07">
        <w:rPr>
          <w:sz w:val="24"/>
          <w:szCs w:val="24"/>
        </w:rPr>
        <w:t xml:space="preserve">% în </w:t>
      </w:r>
      <w:r w:rsidR="005E485F" w:rsidRPr="00251C07">
        <w:rPr>
          <w:sz w:val="24"/>
          <w:szCs w:val="24"/>
        </w:rPr>
        <w:t>ianuarie</w:t>
      </w:r>
      <w:r w:rsidR="00117310" w:rsidRPr="00251C07">
        <w:rPr>
          <w:sz w:val="24"/>
          <w:szCs w:val="24"/>
        </w:rPr>
        <w:t xml:space="preserve"> 201</w:t>
      </w:r>
      <w:r w:rsidR="005E485F" w:rsidRPr="00251C07">
        <w:rPr>
          <w:sz w:val="24"/>
          <w:szCs w:val="24"/>
        </w:rPr>
        <w:t>8</w:t>
      </w:r>
      <w:r w:rsidR="00117310" w:rsidRPr="00251C07">
        <w:rPr>
          <w:sz w:val="24"/>
          <w:szCs w:val="24"/>
        </w:rPr>
        <w:t xml:space="preserve">. </w:t>
      </w:r>
      <w:r w:rsidR="00375201" w:rsidRPr="00251C07">
        <w:rPr>
          <w:sz w:val="24"/>
          <w:szCs w:val="24"/>
        </w:rPr>
        <w:t>Deficitul de valută pe piața valutară este determinat</w:t>
      </w:r>
      <w:r w:rsidR="00023878" w:rsidRPr="00251C07">
        <w:rPr>
          <w:sz w:val="24"/>
          <w:szCs w:val="24"/>
        </w:rPr>
        <w:t>, în mare parte,</w:t>
      </w:r>
      <w:r w:rsidR="00375201" w:rsidRPr="00251C07">
        <w:rPr>
          <w:sz w:val="24"/>
          <w:szCs w:val="24"/>
        </w:rPr>
        <w:t xml:space="preserve"> de</w:t>
      </w:r>
      <w:r w:rsidR="00023878" w:rsidRPr="00251C07">
        <w:rPr>
          <w:sz w:val="24"/>
          <w:szCs w:val="24"/>
        </w:rPr>
        <w:t xml:space="preserve"> micșorarea fluxului remitențelor</w:t>
      </w:r>
      <w:r w:rsidR="00023878" w:rsidRPr="00251C07">
        <w:rPr>
          <w:color w:val="000000" w:themeColor="text1"/>
          <w:sz w:val="24"/>
          <w:szCs w:val="24"/>
        </w:rPr>
        <w:t xml:space="preserve"> </w:t>
      </w:r>
      <w:r w:rsidR="00023878" w:rsidRPr="00251C07">
        <w:rPr>
          <w:sz w:val="24"/>
          <w:szCs w:val="24"/>
        </w:rPr>
        <w:t>valutare de peste hotare</w:t>
      </w:r>
      <w:r w:rsidR="00251C07">
        <w:rPr>
          <w:sz w:val="24"/>
          <w:szCs w:val="24"/>
        </w:rPr>
        <w:t>.</w:t>
      </w:r>
    </w:p>
    <w:p w:rsidR="00117310" w:rsidRDefault="00117310" w:rsidP="00117310">
      <w:pPr>
        <w:jc w:val="both"/>
        <w:rPr>
          <w:sz w:val="24"/>
          <w:szCs w:val="24"/>
          <w:lang w:eastAsia="x-none"/>
        </w:rPr>
      </w:pPr>
    </w:p>
    <w:p w:rsidR="00895CD0" w:rsidRDefault="00895CD0" w:rsidP="00117310">
      <w:pPr>
        <w:jc w:val="both"/>
        <w:rPr>
          <w:sz w:val="24"/>
          <w:szCs w:val="24"/>
          <w:lang w:eastAsia="x-none"/>
        </w:rPr>
      </w:pPr>
    </w:p>
    <w:p w:rsidR="00895CD0" w:rsidRDefault="00895CD0" w:rsidP="00117310">
      <w:pPr>
        <w:jc w:val="both"/>
        <w:rPr>
          <w:sz w:val="24"/>
          <w:szCs w:val="24"/>
          <w:lang w:eastAsia="x-none"/>
        </w:rPr>
      </w:pPr>
    </w:p>
    <w:p w:rsidR="00895CD0" w:rsidRDefault="00895CD0" w:rsidP="00117310">
      <w:pPr>
        <w:jc w:val="both"/>
        <w:rPr>
          <w:sz w:val="24"/>
          <w:szCs w:val="24"/>
          <w:lang w:eastAsia="x-none"/>
        </w:rPr>
      </w:pPr>
    </w:p>
    <w:p w:rsidR="00895CD0" w:rsidRDefault="00895CD0" w:rsidP="00117310">
      <w:pPr>
        <w:jc w:val="both"/>
        <w:rPr>
          <w:sz w:val="24"/>
          <w:szCs w:val="24"/>
          <w:lang w:eastAsia="x-none"/>
        </w:rPr>
      </w:pPr>
    </w:p>
    <w:p w:rsidR="00895CD0" w:rsidRDefault="00895CD0" w:rsidP="00117310">
      <w:pPr>
        <w:jc w:val="both"/>
        <w:rPr>
          <w:sz w:val="24"/>
          <w:szCs w:val="24"/>
          <w:lang w:eastAsia="x-none"/>
        </w:rPr>
      </w:pPr>
    </w:p>
    <w:p w:rsidR="00895CD0" w:rsidRDefault="00895CD0" w:rsidP="00117310">
      <w:pPr>
        <w:jc w:val="both"/>
        <w:rPr>
          <w:sz w:val="24"/>
          <w:szCs w:val="24"/>
          <w:lang w:eastAsia="x-none"/>
        </w:rPr>
      </w:pPr>
    </w:p>
    <w:p w:rsidR="00895CD0" w:rsidRDefault="00895CD0" w:rsidP="00117310">
      <w:pPr>
        <w:jc w:val="both"/>
        <w:rPr>
          <w:sz w:val="24"/>
          <w:szCs w:val="24"/>
          <w:lang w:eastAsia="x-none"/>
        </w:rPr>
      </w:pPr>
    </w:p>
    <w:p w:rsidR="00895CD0" w:rsidRDefault="00895CD0" w:rsidP="00117310">
      <w:pPr>
        <w:jc w:val="both"/>
        <w:rPr>
          <w:sz w:val="24"/>
          <w:szCs w:val="24"/>
          <w:lang w:eastAsia="x-none"/>
        </w:rPr>
      </w:pPr>
    </w:p>
    <w:p w:rsidR="00895CD0" w:rsidRPr="005E485F" w:rsidRDefault="00895CD0" w:rsidP="00117310">
      <w:pPr>
        <w:jc w:val="both"/>
        <w:rPr>
          <w:sz w:val="24"/>
          <w:szCs w:val="24"/>
          <w:lang w:eastAsia="x-none"/>
        </w:rPr>
      </w:pPr>
    </w:p>
    <w:p w:rsidR="00117310" w:rsidRPr="005E485F" w:rsidRDefault="00117310" w:rsidP="00117310">
      <w:pPr>
        <w:jc w:val="center"/>
        <w:rPr>
          <w:b/>
          <w:i/>
          <w:sz w:val="24"/>
          <w:szCs w:val="24"/>
        </w:rPr>
      </w:pPr>
      <w:r w:rsidRPr="005E485F">
        <w:rPr>
          <w:b/>
          <w:i/>
          <w:sz w:val="24"/>
          <w:szCs w:val="24"/>
        </w:rPr>
        <w:t>Gradul de acoperire a cererii nete de valută străină din partea agenţilor economici</w:t>
      </w:r>
    </w:p>
    <w:p w:rsidR="00117310" w:rsidRPr="005E485F" w:rsidRDefault="00117310" w:rsidP="00117310">
      <w:pPr>
        <w:jc w:val="center"/>
        <w:rPr>
          <w:sz w:val="24"/>
          <w:szCs w:val="24"/>
          <w:lang w:eastAsia="x-none"/>
        </w:rPr>
      </w:pPr>
      <w:r w:rsidRPr="005E485F">
        <w:rPr>
          <w:b/>
          <w:i/>
          <w:sz w:val="24"/>
          <w:szCs w:val="24"/>
        </w:rPr>
        <w:t>prin oferta netă de valută străină de la persoanele fizice,</w:t>
      </w:r>
      <w:r w:rsidRPr="005E485F">
        <w:rPr>
          <w:sz w:val="24"/>
          <w:szCs w:val="24"/>
          <w:lang w:eastAsia="x-none"/>
        </w:rPr>
        <w:t xml:space="preserve"> %</w:t>
      </w:r>
    </w:p>
    <w:p w:rsidR="00117310" w:rsidRPr="005E485F" w:rsidRDefault="00117310" w:rsidP="00117310">
      <w:pPr>
        <w:jc w:val="both"/>
        <w:rPr>
          <w:sz w:val="24"/>
          <w:szCs w:val="24"/>
          <w:lang w:eastAsia="x-none"/>
        </w:rPr>
      </w:pPr>
      <w:r w:rsidRPr="005E485F">
        <w:rPr>
          <w:noProof/>
          <w:sz w:val="24"/>
          <w:szCs w:val="24"/>
          <w:lang w:val="en-US" w:eastAsia="en-US"/>
        </w:rPr>
        <w:drawing>
          <wp:inline distT="0" distB="0" distL="0" distR="0" wp14:anchorId="663D556E" wp14:editId="10DCB88E">
            <wp:extent cx="6145530" cy="2558415"/>
            <wp:effectExtent l="0" t="0" r="7620"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17310" w:rsidRPr="005E485F" w:rsidRDefault="00117310" w:rsidP="00117310">
      <w:pPr>
        <w:jc w:val="both"/>
        <w:rPr>
          <w:bCs/>
          <w:i/>
        </w:rPr>
      </w:pPr>
      <w:r w:rsidRPr="005E485F">
        <w:rPr>
          <w:bCs/>
          <w:i/>
        </w:rPr>
        <w:t>Sursă: Banca Naţională a Moldovei</w:t>
      </w:r>
    </w:p>
    <w:p w:rsidR="00117310" w:rsidRPr="005E485F" w:rsidRDefault="00117310" w:rsidP="00117310">
      <w:pPr>
        <w:pStyle w:val="BodyTextIndent3"/>
        <w:spacing w:line="240" w:lineRule="auto"/>
        <w:ind w:firstLine="0"/>
        <w:rPr>
          <w:sz w:val="24"/>
          <w:szCs w:val="24"/>
        </w:rPr>
      </w:pPr>
    </w:p>
    <w:p w:rsidR="00117310" w:rsidRPr="005E485F" w:rsidRDefault="00117310" w:rsidP="00117310">
      <w:pPr>
        <w:pStyle w:val="BodyTextIndent3"/>
        <w:spacing w:line="240" w:lineRule="auto"/>
        <w:ind w:firstLine="0"/>
        <w:rPr>
          <w:sz w:val="24"/>
          <w:szCs w:val="24"/>
        </w:rPr>
      </w:pPr>
      <w:r w:rsidRPr="005E485F">
        <w:rPr>
          <w:sz w:val="24"/>
          <w:szCs w:val="24"/>
        </w:rPr>
        <w:t>În structura ofertei nete de valută de la persoanele fizice ponderea majoră revine monedei euro – 6</w:t>
      </w:r>
      <w:r w:rsidR="005E485F" w:rsidRPr="005E485F">
        <w:rPr>
          <w:sz w:val="24"/>
          <w:szCs w:val="24"/>
        </w:rPr>
        <w:t>9,5</w:t>
      </w:r>
      <w:r w:rsidRPr="005E485F">
        <w:rPr>
          <w:sz w:val="24"/>
          <w:szCs w:val="24"/>
        </w:rPr>
        <w:t xml:space="preserve">%, ponderea dolarului a constituit </w:t>
      </w:r>
      <w:r w:rsidR="005E485F" w:rsidRPr="005E485F">
        <w:rPr>
          <w:sz w:val="24"/>
          <w:szCs w:val="24"/>
        </w:rPr>
        <w:t>4,7</w:t>
      </w:r>
      <w:r w:rsidRPr="005E485F">
        <w:rPr>
          <w:sz w:val="24"/>
          <w:szCs w:val="24"/>
        </w:rPr>
        <w:t xml:space="preserve">%, rublei rusești – </w:t>
      </w:r>
      <w:r w:rsidR="005E485F" w:rsidRPr="005E485F">
        <w:rPr>
          <w:sz w:val="24"/>
          <w:szCs w:val="24"/>
        </w:rPr>
        <w:t>12,7</w:t>
      </w:r>
      <w:r w:rsidRPr="005E485F">
        <w:rPr>
          <w:sz w:val="24"/>
          <w:szCs w:val="24"/>
        </w:rPr>
        <w:t>%.</w:t>
      </w:r>
    </w:p>
    <w:p w:rsidR="00515073" w:rsidRPr="00515073" w:rsidRDefault="00515073" w:rsidP="00117310">
      <w:pPr>
        <w:jc w:val="both"/>
        <w:rPr>
          <w:sz w:val="24"/>
          <w:szCs w:val="24"/>
        </w:rPr>
      </w:pPr>
    </w:p>
    <w:p w:rsidR="00117310" w:rsidRPr="00515073" w:rsidRDefault="00117310" w:rsidP="00117310">
      <w:pPr>
        <w:jc w:val="both"/>
        <w:rPr>
          <w:sz w:val="24"/>
        </w:rPr>
      </w:pPr>
      <w:r w:rsidRPr="00515073">
        <w:rPr>
          <w:sz w:val="24"/>
          <w:szCs w:val="24"/>
        </w:rPr>
        <w:t xml:space="preserve">În </w:t>
      </w:r>
      <w:r w:rsidR="00515073" w:rsidRPr="00515073">
        <w:rPr>
          <w:sz w:val="24"/>
          <w:szCs w:val="24"/>
        </w:rPr>
        <w:t>condițiile cererii nete de valută ne</w:t>
      </w:r>
      <w:r w:rsidR="00515073">
        <w:rPr>
          <w:sz w:val="24"/>
          <w:szCs w:val="24"/>
        </w:rPr>
        <w:t>a</w:t>
      </w:r>
      <w:r w:rsidR="00515073" w:rsidRPr="00515073">
        <w:rPr>
          <w:sz w:val="24"/>
          <w:szCs w:val="24"/>
        </w:rPr>
        <w:t>coperite</w:t>
      </w:r>
      <w:r w:rsidRPr="00515073">
        <w:rPr>
          <w:sz w:val="24"/>
          <w:szCs w:val="24"/>
        </w:rPr>
        <w:t xml:space="preserve">, </w:t>
      </w:r>
      <w:r w:rsidR="00B27C96" w:rsidRPr="00515073">
        <w:rPr>
          <w:sz w:val="24"/>
          <w:szCs w:val="24"/>
        </w:rPr>
        <w:t>în luna ianuarie</w:t>
      </w:r>
      <w:r w:rsidRPr="00515073">
        <w:rPr>
          <w:sz w:val="24"/>
        </w:rPr>
        <w:t xml:space="preserve"> BNM a efectuat </w:t>
      </w:r>
      <w:proofErr w:type="spellStart"/>
      <w:r w:rsidR="00515073" w:rsidRPr="00515073">
        <w:rPr>
          <w:sz w:val="24"/>
        </w:rPr>
        <w:t>vînz</w:t>
      </w:r>
      <w:r w:rsidRPr="00515073">
        <w:rPr>
          <w:sz w:val="24"/>
        </w:rPr>
        <w:t>ări</w:t>
      </w:r>
      <w:proofErr w:type="spellEnd"/>
      <w:r w:rsidRPr="00515073">
        <w:rPr>
          <w:sz w:val="24"/>
        </w:rPr>
        <w:t xml:space="preserve"> nete pe piaţa valutară interbancară în valoare de </w:t>
      </w:r>
      <w:r w:rsidR="00515073" w:rsidRPr="00515073">
        <w:rPr>
          <w:sz w:val="24"/>
        </w:rPr>
        <w:t>92,7</w:t>
      </w:r>
      <w:r w:rsidRPr="00515073">
        <w:rPr>
          <w:sz w:val="24"/>
        </w:rPr>
        <w:t xml:space="preserve"> mil. dolari. </w:t>
      </w:r>
    </w:p>
    <w:p w:rsidR="00515073" w:rsidRPr="00515073" w:rsidRDefault="00515073" w:rsidP="00117310">
      <w:pPr>
        <w:jc w:val="both"/>
        <w:rPr>
          <w:sz w:val="24"/>
        </w:rPr>
      </w:pPr>
    </w:p>
    <w:p w:rsidR="00117310" w:rsidRPr="00515073" w:rsidRDefault="00117310" w:rsidP="00117310">
      <w:pPr>
        <w:jc w:val="center"/>
        <w:rPr>
          <w:b/>
          <w:bCs/>
          <w:i/>
          <w:iCs/>
          <w:color w:val="000000" w:themeColor="text1"/>
          <w:sz w:val="24"/>
          <w:szCs w:val="24"/>
        </w:rPr>
      </w:pPr>
      <w:r w:rsidRPr="00515073">
        <w:rPr>
          <w:b/>
          <w:bCs/>
          <w:i/>
          <w:iCs/>
          <w:color w:val="000000" w:themeColor="text1"/>
          <w:sz w:val="24"/>
          <w:szCs w:val="24"/>
        </w:rPr>
        <w:t>Activitatea BNM pe piaţa interbancară,</w:t>
      </w:r>
    </w:p>
    <w:p w:rsidR="00117310" w:rsidRPr="00515073" w:rsidRDefault="00117310" w:rsidP="00117310">
      <w:pPr>
        <w:jc w:val="center"/>
        <w:rPr>
          <w:color w:val="000000" w:themeColor="text1"/>
          <w:sz w:val="24"/>
          <w:szCs w:val="26"/>
          <w:lang w:eastAsia="x-none"/>
        </w:rPr>
      </w:pPr>
      <w:r w:rsidRPr="00515073">
        <w:rPr>
          <w:i/>
          <w:iCs/>
          <w:sz w:val="24"/>
          <w:szCs w:val="24"/>
        </w:rPr>
        <w:t>echivalentul în mil. dolari SUA</w:t>
      </w:r>
      <w:r w:rsidRPr="00515073">
        <w:rPr>
          <w:noProof/>
          <w:sz w:val="24"/>
          <w:szCs w:val="26"/>
          <w:lang w:val="en-US" w:eastAsia="en-US"/>
        </w:rPr>
        <w:drawing>
          <wp:inline distT="0" distB="0" distL="0" distR="0" wp14:anchorId="1D84B04C" wp14:editId="30AB8363">
            <wp:extent cx="5292725" cy="2720340"/>
            <wp:effectExtent l="0" t="0" r="0" b="0"/>
            <wp:docPr id="45" name="Chart 4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17310" w:rsidRPr="00515073" w:rsidRDefault="00117310" w:rsidP="00117310">
      <w:pPr>
        <w:jc w:val="both"/>
        <w:rPr>
          <w:sz w:val="8"/>
          <w:szCs w:val="8"/>
          <w:lang w:eastAsia="x-none"/>
        </w:rPr>
      </w:pPr>
    </w:p>
    <w:p w:rsidR="00117310" w:rsidRPr="00515073" w:rsidRDefault="00117310" w:rsidP="00117310">
      <w:pPr>
        <w:jc w:val="both"/>
        <w:rPr>
          <w:i/>
          <w:iCs/>
          <w:sz w:val="18"/>
          <w:szCs w:val="18"/>
        </w:rPr>
      </w:pPr>
      <w:r w:rsidRPr="00515073">
        <w:rPr>
          <w:i/>
          <w:iCs/>
        </w:rPr>
        <w:t xml:space="preserve">                      Sursă: Banca Naţională a Moldovei</w:t>
      </w:r>
    </w:p>
    <w:p w:rsidR="00117310" w:rsidRPr="00515073" w:rsidRDefault="00117310" w:rsidP="00117310">
      <w:pPr>
        <w:jc w:val="both"/>
        <w:rPr>
          <w:b/>
          <w:i/>
          <w:sz w:val="24"/>
          <w:szCs w:val="24"/>
        </w:rPr>
      </w:pPr>
    </w:p>
    <w:p w:rsidR="00BE07EB" w:rsidRPr="00AA75FB" w:rsidRDefault="00AA75FB" w:rsidP="00BE07EB">
      <w:pPr>
        <w:jc w:val="both"/>
        <w:rPr>
          <w:rFonts w:ascii="TT1Do00" w:eastAsia="Calibri" w:hAnsi="TT1Do00"/>
          <w:sz w:val="24"/>
          <w:szCs w:val="24"/>
          <w:lang w:eastAsia="en-US"/>
        </w:rPr>
      </w:pPr>
      <w:r w:rsidRPr="00AA75FB">
        <w:rPr>
          <w:b/>
          <w:bCs/>
          <w:i/>
          <w:sz w:val="24"/>
          <w:szCs w:val="24"/>
        </w:rPr>
        <w:t>Stocul activelor valutare de rezervă ale BNM</w:t>
      </w:r>
      <w:r w:rsidRPr="006A2723">
        <w:rPr>
          <w:bCs/>
          <w:sz w:val="24"/>
          <w:szCs w:val="24"/>
        </w:rPr>
        <w:t xml:space="preserve"> la 31.01.2019 a atins o valoare de 2908,6 mil. dolari, micșorîndu-se cu 2,9% comparativ cu nivelul înregistrat la </w:t>
      </w:r>
      <w:proofErr w:type="spellStart"/>
      <w:r w:rsidRPr="006A2723">
        <w:rPr>
          <w:bCs/>
          <w:sz w:val="24"/>
          <w:szCs w:val="24"/>
        </w:rPr>
        <w:t>sfîrşitul</w:t>
      </w:r>
      <w:proofErr w:type="spellEnd"/>
      <w:r w:rsidRPr="006A2723">
        <w:rPr>
          <w:bCs/>
          <w:sz w:val="24"/>
          <w:szCs w:val="24"/>
        </w:rPr>
        <w:t xml:space="preserve"> anului 2018 şi </w:t>
      </w:r>
      <w:proofErr w:type="spellStart"/>
      <w:r w:rsidRPr="006A2723">
        <w:rPr>
          <w:bCs/>
          <w:sz w:val="24"/>
          <w:szCs w:val="24"/>
        </w:rPr>
        <w:t>majorîndu</w:t>
      </w:r>
      <w:proofErr w:type="spellEnd"/>
      <w:r w:rsidRPr="006A2723">
        <w:rPr>
          <w:bCs/>
          <w:sz w:val="24"/>
          <w:szCs w:val="24"/>
        </w:rPr>
        <w:t xml:space="preserve">-se cu 0,2% faţă de situația la 31.01.2018. </w:t>
      </w:r>
      <w:r w:rsidR="00BE07EB" w:rsidRPr="00AA75FB">
        <w:rPr>
          <w:sz w:val="24"/>
          <w:szCs w:val="24"/>
        </w:rPr>
        <w:t>M</w:t>
      </w:r>
      <w:r w:rsidRPr="00AA75FB">
        <w:rPr>
          <w:sz w:val="24"/>
          <w:szCs w:val="24"/>
        </w:rPr>
        <w:t>icșor</w:t>
      </w:r>
      <w:r w:rsidR="00BE07EB" w:rsidRPr="00AA75FB">
        <w:rPr>
          <w:rFonts w:ascii="TT1Do00" w:eastAsia="Calibri" w:hAnsi="TT1Do00"/>
          <w:sz w:val="24"/>
          <w:szCs w:val="24"/>
          <w:lang w:eastAsia="en-US"/>
        </w:rPr>
        <w:t xml:space="preserve">area activelor oficiale de rezervă se datorează, preponderent, </w:t>
      </w:r>
      <w:proofErr w:type="spellStart"/>
      <w:r w:rsidR="00BE07EB" w:rsidRPr="00AA75FB">
        <w:rPr>
          <w:rFonts w:ascii="TT1Do00" w:eastAsia="Calibri" w:hAnsi="TT1Do00"/>
          <w:sz w:val="24"/>
          <w:szCs w:val="24"/>
          <w:lang w:eastAsia="en-US"/>
        </w:rPr>
        <w:t>intervenţiilor</w:t>
      </w:r>
      <w:proofErr w:type="spellEnd"/>
      <w:r w:rsidR="00BE07EB" w:rsidRPr="00AA75FB">
        <w:rPr>
          <w:rFonts w:ascii="TT1Do00" w:eastAsia="Calibri" w:hAnsi="TT1Do00"/>
          <w:sz w:val="24"/>
          <w:szCs w:val="24"/>
          <w:lang w:eastAsia="en-US"/>
        </w:rPr>
        <w:t xml:space="preserve"> pe piaţa valutară internă sub formă de </w:t>
      </w:r>
      <w:proofErr w:type="spellStart"/>
      <w:r w:rsidRPr="00AA75FB">
        <w:rPr>
          <w:rFonts w:ascii="TT1Do00" w:eastAsia="Calibri" w:hAnsi="TT1Do00"/>
          <w:sz w:val="24"/>
          <w:szCs w:val="24"/>
          <w:lang w:eastAsia="en-US"/>
        </w:rPr>
        <w:t>vînză</w:t>
      </w:r>
      <w:r w:rsidR="00BE07EB" w:rsidRPr="00AA75FB">
        <w:rPr>
          <w:rFonts w:ascii="TT1Do00" w:eastAsia="Calibri" w:hAnsi="TT1Do00"/>
          <w:sz w:val="24"/>
          <w:szCs w:val="24"/>
          <w:lang w:eastAsia="en-US"/>
        </w:rPr>
        <w:t>ri</w:t>
      </w:r>
      <w:proofErr w:type="spellEnd"/>
      <w:r w:rsidR="00BE07EB" w:rsidRPr="00AA75FB">
        <w:rPr>
          <w:rFonts w:ascii="TT1Do00" w:eastAsia="Calibri" w:hAnsi="TT1Do00"/>
          <w:sz w:val="24"/>
          <w:szCs w:val="24"/>
          <w:lang w:eastAsia="en-US"/>
        </w:rPr>
        <w:t xml:space="preserve"> de valută. </w:t>
      </w:r>
    </w:p>
    <w:p w:rsidR="00555E97" w:rsidRDefault="00555E97" w:rsidP="007A0DF5">
      <w:pPr>
        <w:jc w:val="center"/>
        <w:rPr>
          <w:b/>
          <w:i/>
          <w:sz w:val="24"/>
          <w:szCs w:val="24"/>
        </w:rPr>
      </w:pPr>
    </w:p>
    <w:p w:rsidR="00EB59F4" w:rsidRDefault="00EB59F4" w:rsidP="007A0DF5">
      <w:pPr>
        <w:jc w:val="center"/>
        <w:rPr>
          <w:b/>
          <w:i/>
          <w:sz w:val="24"/>
          <w:szCs w:val="24"/>
        </w:rPr>
      </w:pPr>
    </w:p>
    <w:p w:rsidR="00EB59F4" w:rsidRDefault="00EB59F4" w:rsidP="007A0DF5">
      <w:pPr>
        <w:jc w:val="center"/>
        <w:rPr>
          <w:b/>
          <w:i/>
          <w:sz w:val="24"/>
          <w:szCs w:val="24"/>
        </w:rPr>
      </w:pPr>
    </w:p>
    <w:p w:rsidR="00EB59F4" w:rsidRDefault="00EB59F4" w:rsidP="007A0DF5">
      <w:pPr>
        <w:jc w:val="center"/>
        <w:rPr>
          <w:b/>
          <w:i/>
          <w:sz w:val="24"/>
          <w:szCs w:val="24"/>
        </w:rPr>
      </w:pPr>
    </w:p>
    <w:p w:rsidR="00EB59F4" w:rsidRDefault="00EB59F4" w:rsidP="007A0DF5">
      <w:pPr>
        <w:jc w:val="center"/>
        <w:rPr>
          <w:b/>
          <w:i/>
          <w:sz w:val="24"/>
          <w:szCs w:val="24"/>
        </w:rPr>
      </w:pPr>
    </w:p>
    <w:p w:rsidR="00EB59F4" w:rsidRPr="00D62041" w:rsidRDefault="00EB59F4" w:rsidP="007A0DF5">
      <w:pPr>
        <w:jc w:val="center"/>
        <w:rPr>
          <w:b/>
          <w:i/>
          <w:sz w:val="24"/>
          <w:szCs w:val="24"/>
        </w:rPr>
      </w:pPr>
    </w:p>
    <w:p w:rsidR="00B77395" w:rsidRPr="00D62041" w:rsidRDefault="00B77395" w:rsidP="00B77395">
      <w:pPr>
        <w:jc w:val="center"/>
        <w:rPr>
          <w:b/>
          <w:i/>
          <w:sz w:val="24"/>
          <w:szCs w:val="24"/>
        </w:rPr>
      </w:pPr>
      <w:r w:rsidRPr="00D62041">
        <w:rPr>
          <w:b/>
          <w:i/>
          <w:sz w:val="24"/>
          <w:szCs w:val="24"/>
        </w:rPr>
        <w:lastRenderedPageBreak/>
        <w:t xml:space="preserve">Activele oficiale de rezervă ale Băncii Naţionale a Moldovei </w:t>
      </w:r>
    </w:p>
    <w:p w:rsidR="00B77395" w:rsidRPr="00D62041" w:rsidRDefault="00B77395" w:rsidP="00B77395">
      <w:pPr>
        <w:jc w:val="center"/>
        <w:rPr>
          <w:i/>
          <w:sz w:val="24"/>
          <w:szCs w:val="24"/>
        </w:rPr>
      </w:pPr>
      <w:r w:rsidRPr="00D62041">
        <w:rPr>
          <w:b/>
          <w:i/>
          <w:sz w:val="24"/>
          <w:szCs w:val="24"/>
        </w:rPr>
        <w:t xml:space="preserve"> (</w:t>
      </w:r>
      <w:r w:rsidRPr="00D62041">
        <w:rPr>
          <w:i/>
          <w:sz w:val="24"/>
          <w:szCs w:val="24"/>
        </w:rPr>
        <w:t>mil. dolari SUA)</w:t>
      </w:r>
    </w:p>
    <w:p w:rsidR="00B77395" w:rsidRPr="00D62041" w:rsidRDefault="00B77395" w:rsidP="00B77395">
      <w:pPr>
        <w:jc w:val="center"/>
        <w:rPr>
          <w:i/>
          <w:sz w:val="24"/>
          <w:szCs w:val="24"/>
        </w:rPr>
      </w:pPr>
    </w:p>
    <w:p w:rsidR="00B77395" w:rsidRPr="00D62041" w:rsidRDefault="00AA75FB" w:rsidP="00B77395">
      <w:pPr>
        <w:jc w:val="center"/>
      </w:pPr>
      <w:r w:rsidRPr="00D62041">
        <w:rPr>
          <w:noProof/>
          <w:sz w:val="24"/>
          <w:szCs w:val="24"/>
          <w:lang w:val="en-US" w:eastAsia="en-US"/>
        </w:rPr>
        <w:drawing>
          <wp:inline distT="0" distB="0" distL="0" distR="0" wp14:anchorId="588D1CFA" wp14:editId="389D8580">
            <wp:extent cx="4994030" cy="2593731"/>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77395" w:rsidRPr="00D62041" w:rsidRDefault="00B77395" w:rsidP="00B77395">
      <w:pPr>
        <w:pStyle w:val="Caption"/>
        <w:spacing w:before="0" w:after="0" w:line="240" w:lineRule="auto"/>
        <w:ind w:firstLine="0"/>
        <w:jc w:val="left"/>
        <w:rPr>
          <w:rFonts w:ascii="Times New Roman" w:hAnsi="Times New Roman"/>
          <w:b w:val="0"/>
          <w:i/>
          <w:lang w:val="ro-RO"/>
        </w:rPr>
      </w:pPr>
    </w:p>
    <w:p w:rsidR="00B77395" w:rsidRPr="00D62041" w:rsidRDefault="00B77395" w:rsidP="00B77395">
      <w:pPr>
        <w:pStyle w:val="Caption"/>
        <w:spacing w:before="0" w:after="0" w:line="240" w:lineRule="auto"/>
        <w:jc w:val="left"/>
        <w:rPr>
          <w:rFonts w:ascii="Times New Roman" w:hAnsi="Times New Roman"/>
          <w:b w:val="0"/>
          <w:i/>
          <w:lang w:val="ro-RO"/>
        </w:rPr>
      </w:pPr>
      <w:r w:rsidRPr="00D62041">
        <w:rPr>
          <w:rFonts w:ascii="Times New Roman" w:hAnsi="Times New Roman"/>
          <w:b w:val="0"/>
          <w:i/>
          <w:lang w:val="ro-RO"/>
        </w:rPr>
        <w:t xml:space="preserve">                       </w:t>
      </w:r>
    </w:p>
    <w:p w:rsidR="00B77395" w:rsidRPr="00D62041" w:rsidRDefault="00B77395" w:rsidP="00B77395">
      <w:pPr>
        <w:pStyle w:val="Caption"/>
        <w:spacing w:before="0" w:after="0" w:line="240" w:lineRule="auto"/>
        <w:jc w:val="left"/>
        <w:rPr>
          <w:rFonts w:ascii="Times New Roman" w:hAnsi="Times New Roman"/>
          <w:b w:val="0"/>
          <w:i/>
          <w:sz w:val="18"/>
          <w:lang w:val="ro-RO"/>
        </w:rPr>
      </w:pPr>
      <w:r w:rsidRPr="00D62041">
        <w:rPr>
          <w:rFonts w:ascii="Times New Roman" w:hAnsi="Times New Roman"/>
          <w:b w:val="0"/>
          <w:i/>
          <w:lang w:val="ro-RO"/>
        </w:rPr>
        <w:t xml:space="preserve">  Sursă: Banca Naţională a Moldovei</w:t>
      </w:r>
    </w:p>
    <w:p w:rsidR="00B77395" w:rsidRPr="00D62041" w:rsidRDefault="00B77395" w:rsidP="007A0DF5">
      <w:pPr>
        <w:jc w:val="center"/>
        <w:rPr>
          <w:b/>
          <w:i/>
          <w:sz w:val="24"/>
          <w:szCs w:val="24"/>
        </w:rPr>
      </w:pPr>
    </w:p>
    <w:p w:rsidR="00066625" w:rsidRPr="00D62041" w:rsidRDefault="00066625" w:rsidP="00BC1DE5">
      <w:pPr>
        <w:jc w:val="both"/>
        <w:rPr>
          <w:sz w:val="24"/>
          <w:szCs w:val="24"/>
        </w:rPr>
      </w:pPr>
    </w:p>
    <w:p w:rsidR="00117310" w:rsidRPr="003D4DBE" w:rsidRDefault="00117310" w:rsidP="00117310">
      <w:pPr>
        <w:jc w:val="both"/>
        <w:rPr>
          <w:b/>
          <w:bCs/>
          <w:color w:val="000000" w:themeColor="text1"/>
          <w:sz w:val="24"/>
          <w:szCs w:val="24"/>
        </w:rPr>
      </w:pPr>
      <w:r w:rsidRPr="003D4DBE">
        <w:rPr>
          <w:b/>
          <w:bCs/>
          <w:color w:val="000000" w:themeColor="text1"/>
          <w:sz w:val="24"/>
          <w:szCs w:val="24"/>
        </w:rPr>
        <w:t>Indicatorii monetari</w:t>
      </w:r>
    </w:p>
    <w:p w:rsidR="00117310" w:rsidRPr="003D4DBE" w:rsidRDefault="00117310" w:rsidP="00117310">
      <w:pPr>
        <w:jc w:val="both"/>
        <w:rPr>
          <w:color w:val="00B050"/>
          <w:sz w:val="24"/>
          <w:szCs w:val="24"/>
        </w:rPr>
      </w:pPr>
    </w:p>
    <w:p w:rsidR="00117310" w:rsidRPr="003D4DBE" w:rsidRDefault="00117310" w:rsidP="00117310">
      <w:pPr>
        <w:jc w:val="both"/>
        <w:rPr>
          <w:color w:val="000000" w:themeColor="text1"/>
          <w:sz w:val="24"/>
          <w:szCs w:val="24"/>
        </w:rPr>
      </w:pPr>
      <w:r w:rsidRPr="003D4DBE">
        <w:rPr>
          <w:b/>
          <w:bCs/>
          <w:i/>
          <w:iCs/>
          <w:color w:val="000000" w:themeColor="text1"/>
          <w:sz w:val="24"/>
          <w:szCs w:val="24"/>
        </w:rPr>
        <w:t>Masa monetară M3</w:t>
      </w:r>
      <w:r w:rsidRPr="003D4DBE">
        <w:rPr>
          <w:color w:val="000000" w:themeColor="text1"/>
          <w:sz w:val="24"/>
          <w:szCs w:val="24"/>
        </w:rPr>
        <w:t xml:space="preserve"> la </w:t>
      </w:r>
      <w:proofErr w:type="spellStart"/>
      <w:r w:rsidRPr="003D4DBE">
        <w:rPr>
          <w:color w:val="000000" w:themeColor="text1"/>
          <w:sz w:val="24"/>
          <w:szCs w:val="24"/>
        </w:rPr>
        <w:t>sfîrşitul</w:t>
      </w:r>
      <w:proofErr w:type="spellEnd"/>
      <w:r w:rsidRPr="003D4DBE">
        <w:rPr>
          <w:color w:val="000000" w:themeColor="text1"/>
          <w:sz w:val="24"/>
          <w:szCs w:val="24"/>
        </w:rPr>
        <w:t xml:space="preserve"> lunii </w:t>
      </w:r>
      <w:r w:rsidR="003D4DBE" w:rsidRPr="003D4DBE">
        <w:rPr>
          <w:color w:val="000000" w:themeColor="text1"/>
          <w:sz w:val="24"/>
          <w:szCs w:val="24"/>
        </w:rPr>
        <w:t>ianuarie</w:t>
      </w:r>
      <w:r w:rsidRPr="003D4DBE">
        <w:rPr>
          <w:color w:val="000000" w:themeColor="text1"/>
          <w:sz w:val="24"/>
          <w:szCs w:val="24"/>
        </w:rPr>
        <w:t xml:space="preserve"> </w:t>
      </w:r>
      <w:r w:rsidR="003D4DBE" w:rsidRPr="003D4DBE">
        <w:rPr>
          <w:color w:val="000000" w:themeColor="text1"/>
          <w:sz w:val="24"/>
          <w:szCs w:val="24"/>
        </w:rPr>
        <w:t>2019</w:t>
      </w:r>
      <w:r w:rsidRPr="003D4DBE">
        <w:rPr>
          <w:color w:val="000000" w:themeColor="text1"/>
          <w:sz w:val="24"/>
          <w:szCs w:val="24"/>
        </w:rPr>
        <w:t xml:space="preserve"> a constituit 8</w:t>
      </w:r>
      <w:r w:rsidR="003D4DBE" w:rsidRPr="003D4DBE">
        <w:rPr>
          <w:color w:val="000000" w:themeColor="text1"/>
          <w:sz w:val="24"/>
          <w:szCs w:val="24"/>
        </w:rPr>
        <w:t>2</w:t>
      </w:r>
      <w:r w:rsidR="003026E4" w:rsidRPr="003D4DBE">
        <w:rPr>
          <w:color w:val="000000" w:themeColor="text1"/>
          <w:sz w:val="24"/>
          <w:szCs w:val="24"/>
        </w:rPr>
        <w:t>,</w:t>
      </w:r>
      <w:r w:rsidRPr="003D4DBE">
        <w:rPr>
          <w:color w:val="000000" w:themeColor="text1"/>
          <w:sz w:val="24"/>
          <w:szCs w:val="24"/>
        </w:rPr>
        <w:t xml:space="preserve">2 mild. lei şi s-a majorat cu </w:t>
      </w:r>
      <w:r w:rsidR="003D4DBE" w:rsidRPr="003D4DBE">
        <w:rPr>
          <w:color w:val="000000" w:themeColor="text1"/>
          <w:sz w:val="24"/>
          <w:szCs w:val="24"/>
        </w:rPr>
        <w:t>6,6</w:t>
      </w:r>
      <w:r w:rsidRPr="003D4DBE">
        <w:rPr>
          <w:color w:val="000000" w:themeColor="text1"/>
          <w:sz w:val="24"/>
          <w:szCs w:val="24"/>
        </w:rPr>
        <w:t xml:space="preserve">% comparativ cu situația similară din anul </w:t>
      </w:r>
      <w:r w:rsidR="003D4DBE" w:rsidRPr="003D4DBE">
        <w:rPr>
          <w:color w:val="000000" w:themeColor="text1"/>
          <w:sz w:val="24"/>
          <w:szCs w:val="24"/>
        </w:rPr>
        <w:t>2019</w:t>
      </w:r>
      <w:r w:rsidRPr="003D4DBE">
        <w:rPr>
          <w:color w:val="000000" w:themeColor="text1"/>
          <w:sz w:val="24"/>
          <w:szCs w:val="24"/>
        </w:rPr>
        <w:t>. În componența M3 intră banii lichizi în circulație (</w:t>
      </w:r>
      <w:r w:rsidR="003D4DBE" w:rsidRPr="003D4DBE">
        <w:rPr>
          <w:color w:val="000000" w:themeColor="text1"/>
          <w:sz w:val="24"/>
          <w:szCs w:val="24"/>
        </w:rPr>
        <w:t>24,9</w:t>
      </w:r>
      <w:r w:rsidRPr="003D4DBE">
        <w:rPr>
          <w:color w:val="000000" w:themeColor="text1"/>
          <w:sz w:val="24"/>
          <w:szCs w:val="24"/>
        </w:rPr>
        <w:t>%), depozite în lei la vedere (21,</w:t>
      </w:r>
      <w:r w:rsidR="003D4DBE" w:rsidRPr="003D4DBE">
        <w:rPr>
          <w:color w:val="000000" w:themeColor="text1"/>
          <w:sz w:val="24"/>
          <w:szCs w:val="24"/>
        </w:rPr>
        <w:t>3</w:t>
      </w:r>
      <w:r w:rsidRPr="003D4DBE">
        <w:rPr>
          <w:color w:val="000000" w:themeColor="text1"/>
          <w:sz w:val="24"/>
          <w:szCs w:val="24"/>
        </w:rPr>
        <w:t>%), depozite în lei la termen (23</w:t>
      </w:r>
      <w:r w:rsidR="003D4DBE" w:rsidRPr="003D4DBE">
        <w:rPr>
          <w:color w:val="000000" w:themeColor="text1"/>
          <w:sz w:val="24"/>
          <w:szCs w:val="24"/>
        </w:rPr>
        <w:t>,1</w:t>
      </w:r>
      <w:r w:rsidRPr="003D4DBE">
        <w:rPr>
          <w:color w:val="000000" w:themeColor="text1"/>
          <w:sz w:val="24"/>
          <w:szCs w:val="24"/>
        </w:rPr>
        <w:t>%) și depozitele în valută (</w:t>
      </w:r>
      <w:r w:rsidR="003D4DBE" w:rsidRPr="003D4DBE">
        <w:rPr>
          <w:color w:val="000000" w:themeColor="text1"/>
          <w:sz w:val="24"/>
          <w:szCs w:val="24"/>
        </w:rPr>
        <w:t>30,7</w:t>
      </w:r>
      <w:r w:rsidRPr="003D4DBE">
        <w:rPr>
          <w:color w:val="000000" w:themeColor="text1"/>
          <w:sz w:val="24"/>
          <w:szCs w:val="24"/>
        </w:rPr>
        <w:t xml:space="preserve">%). </w:t>
      </w:r>
    </w:p>
    <w:p w:rsidR="00117310" w:rsidRPr="003D4DBE" w:rsidRDefault="00117310" w:rsidP="00117310">
      <w:pPr>
        <w:jc w:val="both"/>
        <w:rPr>
          <w:color w:val="000000" w:themeColor="text1"/>
          <w:sz w:val="24"/>
          <w:szCs w:val="24"/>
        </w:rPr>
      </w:pPr>
    </w:p>
    <w:p w:rsidR="00117310" w:rsidRPr="00D329E1" w:rsidRDefault="00117310" w:rsidP="00117310">
      <w:pPr>
        <w:jc w:val="both"/>
        <w:rPr>
          <w:color w:val="000000" w:themeColor="text1"/>
          <w:sz w:val="24"/>
          <w:szCs w:val="24"/>
        </w:rPr>
      </w:pPr>
      <w:r w:rsidRPr="003D4DBE">
        <w:rPr>
          <w:color w:val="000000" w:themeColor="text1"/>
          <w:sz w:val="24"/>
          <w:szCs w:val="24"/>
        </w:rPr>
        <w:t>Cea mai mare parte în structura M3 revine depozitelor  - 7</w:t>
      </w:r>
      <w:r w:rsidR="003D4DBE" w:rsidRPr="003D4DBE">
        <w:rPr>
          <w:color w:val="000000" w:themeColor="text1"/>
          <w:sz w:val="24"/>
          <w:szCs w:val="24"/>
        </w:rPr>
        <w:t>5,1</w:t>
      </w:r>
      <w:r w:rsidRPr="003D4DBE">
        <w:rPr>
          <w:color w:val="000000" w:themeColor="text1"/>
          <w:sz w:val="24"/>
          <w:szCs w:val="24"/>
        </w:rPr>
        <w:t xml:space="preserve">%. La </w:t>
      </w:r>
      <w:proofErr w:type="spellStart"/>
      <w:r w:rsidRPr="003D4DBE">
        <w:rPr>
          <w:color w:val="000000" w:themeColor="text1"/>
          <w:sz w:val="24"/>
          <w:szCs w:val="24"/>
        </w:rPr>
        <w:t>sfîrşitul</w:t>
      </w:r>
      <w:proofErr w:type="spellEnd"/>
      <w:r w:rsidRPr="003D4DBE">
        <w:rPr>
          <w:color w:val="000000" w:themeColor="text1"/>
          <w:sz w:val="24"/>
          <w:szCs w:val="24"/>
        </w:rPr>
        <w:t xml:space="preserve"> lunii </w:t>
      </w:r>
      <w:r w:rsidR="003D4DBE" w:rsidRPr="003D4DBE">
        <w:rPr>
          <w:color w:val="000000" w:themeColor="text1"/>
          <w:sz w:val="24"/>
          <w:szCs w:val="24"/>
        </w:rPr>
        <w:t>ianuarie</w:t>
      </w:r>
      <w:r w:rsidRPr="003D4DBE">
        <w:rPr>
          <w:color w:val="000000" w:themeColor="text1"/>
          <w:sz w:val="24"/>
          <w:szCs w:val="24"/>
        </w:rPr>
        <w:t xml:space="preserve"> </w:t>
      </w:r>
      <w:r w:rsidR="003D4DBE" w:rsidRPr="003D4DBE">
        <w:rPr>
          <w:color w:val="000000" w:themeColor="text1"/>
          <w:sz w:val="24"/>
          <w:szCs w:val="24"/>
        </w:rPr>
        <w:t>2019</w:t>
      </w:r>
      <w:r w:rsidRPr="003D4DBE">
        <w:rPr>
          <w:color w:val="000000" w:themeColor="text1"/>
          <w:sz w:val="24"/>
          <w:szCs w:val="24"/>
        </w:rPr>
        <w:t xml:space="preserve"> soldul acestora a fost la nivel de 6</w:t>
      </w:r>
      <w:r w:rsidR="00A810F1" w:rsidRPr="003D4DBE">
        <w:rPr>
          <w:color w:val="000000" w:themeColor="text1"/>
          <w:sz w:val="24"/>
          <w:szCs w:val="24"/>
        </w:rPr>
        <w:t>1</w:t>
      </w:r>
      <w:r w:rsidR="003D4DBE" w:rsidRPr="003D4DBE">
        <w:rPr>
          <w:color w:val="000000" w:themeColor="text1"/>
          <w:sz w:val="24"/>
          <w:szCs w:val="24"/>
        </w:rPr>
        <w:t>,7</w:t>
      </w:r>
      <w:r w:rsidRPr="003D4DBE">
        <w:rPr>
          <w:color w:val="000000" w:themeColor="text1"/>
          <w:sz w:val="24"/>
          <w:szCs w:val="24"/>
        </w:rPr>
        <w:t xml:space="preserve"> mild. lei, înregistrînd o majorare cu </w:t>
      </w:r>
      <w:r w:rsidR="003D4DBE" w:rsidRPr="003D4DBE">
        <w:rPr>
          <w:color w:val="000000" w:themeColor="text1"/>
          <w:sz w:val="24"/>
          <w:szCs w:val="24"/>
        </w:rPr>
        <w:t>5,1</w:t>
      </w:r>
      <w:r w:rsidRPr="003D4DBE">
        <w:rPr>
          <w:color w:val="000000" w:themeColor="text1"/>
          <w:sz w:val="24"/>
          <w:szCs w:val="24"/>
        </w:rPr>
        <w:t xml:space="preserve">% faţă de </w:t>
      </w:r>
      <w:proofErr w:type="spellStart"/>
      <w:r w:rsidRPr="003D4DBE">
        <w:rPr>
          <w:color w:val="000000" w:themeColor="text1"/>
          <w:sz w:val="24"/>
          <w:szCs w:val="24"/>
        </w:rPr>
        <w:t>sfîrşitul</w:t>
      </w:r>
      <w:proofErr w:type="spellEnd"/>
      <w:r w:rsidRPr="003D4DBE">
        <w:rPr>
          <w:color w:val="000000" w:themeColor="text1"/>
          <w:sz w:val="24"/>
          <w:szCs w:val="24"/>
        </w:rPr>
        <w:t xml:space="preserve"> lunii </w:t>
      </w:r>
      <w:r w:rsidR="003D4DBE" w:rsidRPr="003D4DBE">
        <w:rPr>
          <w:color w:val="000000" w:themeColor="text1"/>
          <w:sz w:val="24"/>
          <w:szCs w:val="24"/>
        </w:rPr>
        <w:t>ianuarie</w:t>
      </w:r>
      <w:r w:rsidRPr="003D4DBE">
        <w:rPr>
          <w:color w:val="000000" w:themeColor="text1"/>
          <w:sz w:val="24"/>
          <w:szCs w:val="24"/>
        </w:rPr>
        <w:t xml:space="preserve"> </w:t>
      </w:r>
      <w:r w:rsidR="003D4DBE" w:rsidRPr="003D4DBE">
        <w:rPr>
          <w:color w:val="000000" w:themeColor="text1"/>
          <w:sz w:val="24"/>
          <w:szCs w:val="24"/>
        </w:rPr>
        <w:t>2018</w:t>
      </w:r>
      <w:r w:rsidRPr="003D4DBE">
        <w:rPr>
          <w:color w:val="000000" w:themeColor="text1"/>
          <w:sz w:val="24"/>
          <w:szCs w:val="24"/>
        </w:rPr>
        <w:t>.</w:t>
      </w:r>
    </w:p>
    <w:p w:rsidR="00A810F1" w:rsidRPr="00D329E1" w:rsidRDefault="00A810F1" w:rsidP="00117310">
      <w:pPr>
        <w:jc w:val="center"/>
        <w:rPr>
          <w:b/>
          <w:i/>
          <w:sz w:val="24"/>
          <w:szCs w:val="24"/>
        </w:rPr>
      </w:pPr>
    </w:p>
    <w:p w:rsidR="00117310" w:rsidRPr="00D329E1" w:rsidRDefault="00117310" w:rsidP="00117310">
      <w:pPr>
        <w:jc w:val="center"/>
        <w:rPr>
          <w:b/>
          <w:i/>
          <w:sz w:val="24"/>
          <w:szCs w:val="24"/>
        </w:rPr>
      </w:pPr>
      <w:r w:rsidRPr="00D329E1">
        <w:rPr>
          <w:b/>
          <w:i/>
          <w:sz w:val="24"/>
          <w:szCs w:val="24"/>
        </w:rPr>
        <w:t xml:space="preserve">Contribuția componentelor la evoluția masei monetare M3 </w:t>
      </w:r>
    </w:p>
    <w:p w:rsidR="00117310" w:rsidRDefault="00117310" w:rsidP="00117310">
      <w:pPr>
        <w:jc w:val="center"/>
        <w:rPr>
          <w:i/>
          <w:sz w:val="24"/>
          <w:szCs w:val="24"/>
        </w:rPr>
      </w:pPr>
      <w:r w:rsidRPr="00D329E1">
        <w:rPr>
          <w:b/>
          <w:i/>
          <w:sz w:val="24"/>
          <w:szCs w:val="24"/>
        </w:rPr>
        <w:t xml:space="preserve">la </w:t>
      </w:r>
      <w:proofErr w:type="spellStart"/>
      <w:r w:rsidRPr="00D329E1">
        <w:rPr>
          <w:b/>
          <w:i/>
          <w:sz w:val="24"/>
          <w:szCs w:val="24"/>
        </w:rPr>
        <w:t>sfîrşitul</w:t>
      </w:r>
      <w:proofErr w:type="spellEnd"/>
      <w:r w:rsidRPr="00D329E1">
        <w:rPr>
          <w:b/>
          <w:i/>
          <w:sz w:val="24"/>
          <w:szCs w:val="24"/>
        </w:rPr>
        <w:t xml:space="preserve"> lunii </w:t>
      </w:r>
      <w:r w:rsidR="003D4DBE" w:rsidRPr="00D329E1">
        <w:rPr>
          <w:b/>
          <w:i/>
          <w:sz w:val="24"/>
          <w:szCs w:val="24"/>
        </w:rPr>
        <w:t>ianuarie</w:t>
      </w:r>
      <w:r w:rsidRPr="00D329E1">
        <w:rPr>
          <w:b/>
          <w:i/>
          <w:sz w:val="24"/>
          <w:szCs w:val="24"/>
        </w:rPr>
        <w:t xml:space="preserve"> 201</w:t>
      </w:r>
      <w:r w:rsidR="007F7316">
        <w:rPr>
          <w:b/>
          <w:i/>
          <w:sz w:val="24"/>
          <w:szCs w:val="24"/>
        </w:rPr>
        <w:t>5</w:t>
      </w:r>
      <w:r w:rsidRPr="00D329E1">
        <w:rPr>
          <w:b/>
          <w:i/>
          <w:sz w:val="24"/>
          <w:szCs w:val="24"/>
        </w:rPr>
        <w:t>-</w:t>
      </w:r>
      <w:r w:rsidR="003D4DBE" w:rsidRPr="00D329E1">
        <w:rPr>
          <w:b/>
          <w:i/>
          <w:sz w:val="24"/>
          <w:szCs w:val="24"/>
        </w:rPr>
        <w:t>2019</w:t>
      </w:r>
      <w:r w:rsidRPr="00D329E1">
        <w:rPr>
          <w:b/>
          <w:i/>
          <w:sz w:val="24"/>
          <w:szCs w:val="24"/>
        </w:rPr>
        <w:t xml:space="preserve">, </w:t>
      </w:r>
      <w:r w:rsidRPr="00D329E1">
        <w:rPr>
          <w:i/>
          <w:sz w:val="24"/>
          <w:szCs w:val="24"/>
        </w:rPr>
        <w:t>mil. lei</w:t>
      </w:r>
    </w:p>
    <w:p w:rsidR="001E3A5A" w:rsidRPr="00D329E1" w:rsidRDefault="001E3A5A" w:rsidP="00117310">
      <w:pPr>
        <w:jc w:val="center"/>
        <w:rPr>
          <w:i/>
          <w:sz w:val="24"/>
          <w:szCs w:val="24"/>
        </w:rPr>
      </w:pPr>
      <w:r>
        <w:rPr>
          <w:i/>
          <w:noProof/>
          <w:sz w:val="24"/>
          <w:szCs w:val="24"/>
          <w:lang w:val="en-US" w:eastAsia="en-US"/>
        </w:rPr>
        <w:drawing>
          <wp:inline distT="0" distB="0" distL="0" distR="0">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17310" w:rsidRPr="00D329E1" w:rsidRDefault="00117310" w:rsidP="00117310">
      <w:pPr>
        <w:ind w:firstLine="567"/>
        <w:rPr>
          <w:i/>
        </w:rPr>
      </w:pPr>
    </w:p>
    <w:p w:rsidR="00117310" w:rsidRPr="00D329E1" w:rsidRDefault="00117310" w:rsidP="00117310">
      <w:pPr>
        <w:ind w:firstLine="567"/>
        <w:rPr>
          <w:i/>
        </w:rPr>
      </w:pPr>
      <w:r w:rsidRPr="00D329E1">
        <w:rPr>
          <w:i/>
        </w:rPr>
        <w:t>Sursă: Banca Naţională a Moldovei</w:t>
      </w:r>
    </w:p>
    <w:p w:rsidR="00117310" w:rsidRPr="00743C73" w:rsidRDefault="00117310" w:rsidP="00117310">
      <w:pPr>
        <w:pStyle w:val="BodyTextIndent"/>
        <w:spacing w:before="0" w:after="0"/>
        <w:ind w:firstLine="0"/>
        <w:rPr>
          <w:sz w:val="24"/>
          <w:szCs w:val="24"/>
        </w:rPr>
      </w:pPr>
    </w:p>
    <w:p w:rsidR="00117310" w:rsidRPr="00743C73" w:rsidRDefault="00117310" w:rsidP="00117310">
      <w:pPr>
        <w:pStyle w:val="BodyTextIndent"/>
        <w:spacing w:before="0" w:after="0"/>
        <w:ind w:firstLine="0"/>
        <w:rPr>
          <w:sz w:val="24"/>
          <w:szCs w:val="24"/>
        </w:rPr>
      </w:pPr>
      <w:r w:rsidRPr="00743C73">
        <w:rPr>
          <w:sz w:val="24"/>
          <w:szCs w:val="24"/>
        </w:rPr>
        <w:t xml:space="preserve">Creșterea continuă a economiilor caracterizează evoluția sectorului bancar începînd cu a doua jumătate a anului 2016. Faţă de </w:t>
      </w:r>
      <w:proofErr w:type="spellStart"/>
      <w:r w:rsidRPr="00743C73">
        <w:rPr>
          <w:sz w:val="24"/>
          <w:szCs w:val="24"/>
        </w:rPr>
        <w:t>sfîrşitul</w:t>
      </w:r>
      <w:proofErr w:type="spellEnd"/>
      <w:r w:rsidRPr="00743C73">
        <w:rPr>
          <w:sz w:val="24"/>
          <w:szCs w:val="24"/>
        </w:rPr>
        <w:t xml:space="preserve"> lunii </w:t>
      </w:r>
      <w:r w:rsidR="003D4DBE" w:rsidRPr="00743C73">
        <w:rPr>
          <w:sz w:val="24"/>
          <w:szCs w:val="24"/>
        </w:rPr>
        <w:t>ianuarie</w:t>
      </w:r>
      <w:r w:rsidRPr="00743C73">
        <w:rPr>
          <w:sz w:val="24"/>
          <w:szCs w:val="24"/>
        </w:rPr>
        <w:t xml:space="preserve"> </w:t>
      </w:r>
      <w:r w:rsidR="003D4DBE" w:rsidRPr="00743C73">
        <w:rPr>
          <w:sz w:val="24"/>
          <w:szCs w:val="24"/>
        </w:rPr>
        <w:t>2018</w:t>
      </w:r>
      <w:r w:rsidRPr="00743C73">
        <w:rPr>
          <w:sz w:val="24"/>
          <w:szCs w:val="24"/>
        </w:rPr>
        <w:t xml:space="preserve"> soldul </w:t>
      </w:r>
      <w:r w:rsidRPr="00743C73">
        <w:rPr>
          <w:i/>
          <w:iCs/>
          <w:sz w:val="24"/>
          <w:szCs w:val="24"/>
        </w:rPr>
        <w:t>depozitelor în monedă naţională</w:t>
      </w:r>
      <w:r w:rsidRPr="00743C73">
        <w:rPr>
          <w:sz w:val="24"/>
          <w:szCs w:val="24"/>
        </w:rPr>
        <w:t xml:space="preserve">  (</w:t>
      </w:r>
      <w:r w:rsidR="00743C73" w:rsidRPr="00743C73">
        <w:rPr>
          <w:sz w:val="24"/>
          <w:szCs w:val="24"/>
        </w:rPr>
        <w:t>59,1</w:t>
      </w:r>
      <w:r w:rsidRPr="00743C73">
        <w:rPr>
          <w:sz w:val="24"/>
          <w:szCs w:val="24"/>
        </w:rPr>
        <w:t xml:space="preserve">% din volumul total) s-a majorat cu </w:t>
      </w:r>
      <w:r w:rsidR="00743C73" w:rsidRPr="00743C73">
        <w:rPr>
          <w:sz w:val="24"/>
          <w:szCs w:val="24"/>
        </w:rPr>
        <w:t>6,1</w:t>
      </w:r>
      <w:r w:rsidRPr="00743C73">
        <w:rPr>
          <w:sz w:val="24"/>
          <w:szCs w:val="24"/>
        </w:rPr>
        <w:t xml:space="preserve">%, </w:t>
      </w:r>
      <w:proofErr w:type="spellStart"/>
      <w:r w:rsidRPr="00743C73">
        <w:rPr>
          <w:sz w:val="24"/>
          <w:szCs w:val="24"/>
        </w:rPr>
        <w:t>atingînd</w:t>
      </w:r>
      <w:proofErr w:type="spellEnd"/>
      <w:r w:rsidRPr="00743C73">
        <w:rPr>
          <w:sz w:val="24"/>
          <w:szCs w:val="24"/>
        </w:rPr>
        <w:t xml:space="preserve"> un volum de 3</w:t>
      </w:r>
      <w:r w:rsidR="00743C73" w:rsidRPr="00743C73">
        <w:rPr>
          <w:sz w:val="24"/>
          <w:szCs w:val="24"/>
        </w:rPr>
        <w:t>6,5</w:t>
      </w:r>
      <w:r w:rsidRPr="00743C73">
        <w:rPr>
          <w:sz w:val="24"/>
          <w:szCs w:val="24"/>
        </w:rPr>
        <w:t xml:space="preserve"> mild. lei. Este de remarcat creșterea semnificativă a depozitelor la vedere – cu </w:t>
      </w:r>
      <w:r w:rsidR="00A810F1" w:rsidRPr="00743C73">
        <w:rPr>
          <w:sz w:val="24"/>
          <w:szCs w:val="24"/>
        </w:rPr>
        <w:t>1</w:t>
      </w:r>
      <w:r w:rsidR="00743C73" w:rsidRPr="00743C73">
        <w:rPr>
          <w:sz w:val="24"/>
          <w:szCs w:val="24"/>
        </w:rPr>
        <w:t>0,</w:t>
      </w:r>
      <w:r w:rsidRPr="00743C73">
        <w:rPr>
          <w:sz w:val="24"/>
          <w:szCs w:val="24"/>
        </w:rPr>
        <w:t xml:space="preserve">6%, contribuind cel mai mult la creșterea masei monetare M3. Aceasta se argumentează prin faptul că  populația preferă să-și păstreze economiile în lei avînd acces la ele fără restricții, în pofida </w:t>
      </w:r>
      <w:proofErr w:type="spellStart"/>
      <w:r w:rsidRPr="00743C73">
        <w:rPr>
          <w:sz w:val="24"/>
          <w:szCs w:val="24"/>
        </w:rPr>
        <w:t>dobînzii</w:t>
      </w:r>
      <w:proofErr w:type="spellEnd"/>
      <w:r w:rsidRPr="00743C73">
        <w:rPr>
          <w:sz w:val="24"/>
          <w:szCs w:val="24"/>
        </w:rPr>
        <w:t xml:space="preserve"> mai mici comparativ cu depozitele la termen. Totodată, depozitele la termen sunt în creștere cu doar </w:t>
      </w:r>
      <w:r w:rsidR="00A810F1" w:rsidRPr="00743C73">
        <w:rPr>
          <w:sz w:val="24"/>
          <w:szCs w:val="24"/>
        </w:rPr>
        <w:t>2</w:t>
      </w:r>
      <w:r w:rsidR="00743C73" w:rsidRPr="00743C73">
        <w:rPr>
          <w:sz w:val="24"/>
          <w:szCs w:val="24"/>
        </w:rPr>
        <w:t>,3</w:t>
      </w:r>
      <w:r w:rsidRPr="00743C73">
        <w:rPr>
          <w:sz w:val="24"/>
          <w:szCs w:val="24"/>
        </w:rPr>
        <w:t xml:space="preserve">% față de </w:t>
      </w:r>
      <w:proofErr w:type="spellStart"/>
      <w:r w:rsidRPr="00743C73">
        <w:rPr>
          <w:sz w:val="24"/>
          <w:szCs w:val="24"/>
        </w:rPr>
        <w:t>sfîrșitul</w:t>
      </w:r>
      <w:proofErr w:type="spellEnd"/>
      <w:r w:rsidRPr="00743C73">
        <w:rPr>
          <w:sz w:val="24"/>
          <w:szCs w:val="24"/>
        </w:rPr>
        <w:t xml:space="preserve"> lunii </w:t>
      </w:r>
      <w:r w:rsidR="003D4DBE" w:rsidRPr="00743C73">
        <w:rPr>
          <w:sz w:val="24"/>
          <w:szCs w:val="24"/>
        </w:rPr>
        <w:t>ianuarie</w:t>
      </w:r>
      <w:r w:rsidRPr="00743C73">
        <w:rPr>
          <w:sz w:val="24"/>
          <w:szCs w:val="24"/>
        </w:rPr>
        <w:t xml:space="preserve"> </w:t>
      </w:r>
      <w:r w:rsidR="003D4DBE" w:rsidRPr="00743C73">
        <w:rPr>
          <w:sz w:val="24"/>
          <w:szCs w:val="24"/>
        </w:rPr>
        <w:t>2018</w:t>
      </w:r>
      <w:r w:rsidRPr="00743C73">
        <w:rPr>
          <w:sz w:val="24"/>
          <w:szCs w:val="24"/>
        </w:rPr>
        <w:t>.</w:t>
      </w:r>
    </w:p>
    <w:p w:rsidR="00117310" w:rsidRPr="00743C73" w:rsidRDefault="00117310" w:rsidP="00117310">
      <w:pPr>
        <w:pStyle w:val="BodyTextIndent3"/>
        <w:spacing w:line="240" w:lineRule="auto"/>
        <w:ind w:firstLine="0"/>
        <w:rPr>
          <w:sz w:val="24"/>
          <w:szCs w:val="24"/>
        </w:rPr>
      </w:pPr>
    </w:p>
    <w:p w:rsidR="00117310" w:rsidRPr="00C47AE4" w:rsidRDefault="00117310" w:rsidP="00117310">
      <w:pPr>
        <w:pStyle w:val="BodyTextIndent3"/>
        <w:spacing w:line="240" w:lineRule="auto"/>
        <w:ind w:firstLine="0"/>
        <w:jc w:val="center"/>
        <w:rPr>
          <w:b/>
          <w:i/>
          <w:sz w:val="24"/>
          <w:szCs w:val="24"/>
        </w:rPr>
      </w:pPr>
      <w:r w:rsidRPr="00C47AE4">
        <w:rPr>
          <w:b/>
          <w:i/>
          <w:sz w:val="24"/>
          <w:szCs w:val="24"/>
        </w:rPr>
        <w:t xml:space="preserve">Soldul depozitelor şi ratele </w:t>
      </w:r>
      <w:proofErr w:type="spellStart"/>
      <w:r w:rsidRPr="00C47AE4">
        <w:rPr>
          <w:b/>
          <w:i/>
          <w:sz w:val="24"/>
          <w:szCs w:val="24"/>
        </w:rPr>
        <w:t>dobînzii</w:t>
      </w:r>
      <w:proofErr w:type="spellEnd"/>
      <w:r w:rsidRPr="00C47AE4">
        <w:rPr>
          <w:b/>
          <w:i/>
          <w:sz w:val="24"/>
          <w:szCs w:val="24"/>
        </w:rPr>
        <w:t xml:space="preserve"> (medii lunare) </w:t>
      </w:r>
    </w:p>
    <w:p w:rsidR="00117310" w:rsidRPr="00C47AE4" w:rsidRDefault="00117310" w:rsidP="00117310">
      <w:pPr>
        <w:pStyle w:val="BodyTextIndent3"/>
        <w:tabs>
          <w:tab w:val="center" w:pos="4677"/>
          <w:tab w:val="left" w:pos="6746"/>
        </w:tabs>
        <w:spacing w:line="240" w:lineRule="auto"/>
        <w:ind w:firstLine="0"/>
        <w:jc w:val="left"/>
        <w:rPr>
          <w:b/>
          <w:i/>
          <w:sz w:val="24"/>
          <w:szCs w:val="24"/>
        </w:rPr>
      </w:pPr>
      <w:r w:rsidRPr="00C47AE4">
        <w:rPr>
          <w:b/>
          <w:i/>
          <w:sz w:val="24"/>
          <w:szCs w:val="24"/>
        </w:rPr>
        <w:tab/>
        <w:t xml:space="preserve">la </w:t>
      </w:r>
      <w:proofErr w:type="spellStart"/>
      <w:r w:rsidRPr="00C47AE4">
        <w:rPr>
          <w:b/>
          <w:i/>
          <w:sz w:val="24"/>
          <w:szCs w:val="24"/>
        </w:rPr>
        <w:t>sfîrşitul</w:t>
      </w:r>
      <w:proofErr w:type="spellEnd"/>
      <w:r w:rsidRPr="00C47AE4">
        <w:rPr>
          <w:b/>
          <w:i/>
          <w:sz w:val="24"/>
          <w:szCs w:val="24"/>
        </w:rPr>
        <w:t xml:space="preserve"> lunii </w:t>
      </w:r>
      <w:r w:rsidR="003D4DBE" w:rsidRPr="00C47AE4">
        <w:rPr>
          <w:b/>
          <w:i/>
          <w:sz w:val="24"/>
          <w:szCs w:val="24"/>
        </w:rPr>
        <w:t>ianuarie</w:t>
      </w:r>
      <w:r w:rsidRPr="00C47AE4">
        <w:rPr>
          <w:b/>
          <w:i/>
          <w:sz w:val="24"/>
          <w:szCs w:val="24"/>
        </w:rPr>
        <w:t xml:space="preserve"> 201</w:t>
      </w:r>
      <w:r w:rsidR="007F7316">
        <w:rPr>
          <w:b/>
          <w:i/>
          <w:sz w:val="24"/>
          <w:szCs w:val="24"/>
        </w:rPr>
        <w:t>5</w:t>
      </w:r>
      <w:r w:rsidRPr="00C47AE4">
        <w:rPr>
          <w:b/>
          <w:i/>
          <w:sz w:val="24"/>
          <w:szCs w:val="24"/>
        </w:rPr>
        <w:t>-</w:t>
      </w:r>
      <w:r w:rsidR="003D4DBE" w:rsidRPr="00C47AE4">
        <w:rPr>
          <w:b/>
          <w:i/>
          <w:sz w:val="24"/>
          <w:szCs w:val="24"/>
        </w:rPr>
        <w:t>2019</w:t>
      </w:r>
    </w:p>
    <w:p w:rsidR="00117310" w:rsidRPr="00C47AE4" w:rsidRDefault="00117310" w:rsidP="00117310">
      <w:pPr>
        <w:pStyle w:val="BodyTextIndent3"/>
        <w:tabs>
          <w:tab w:val="center" w:pos="4677"/>
          <w:tab w:val="left" w:pos="6746"/>
        </w:tabs>
        <w:spacing w:line="240" w:lineRule="auto"/>
        <w:ind w:firstLine="0"/>
        <w:jc w:val="left"/>
        <w:rPr>
          <w:sz w:val="24"/>
          <w:szCs w:val="24"/>
        </w:rPr>
      </w:pPr>
      <w:r w:rsidRPr="00C47AE4">
        <w:rPr>
          <w:b/>
          <w:i/>
          <w:sz w:val="24"/>
          <w:szCs w:val="24"/>
        </w:rPr>
        <w:tab/>
      </w:r>
      <w:r w:rsidRPr="00C47AE4">
        <w:rPr>
          <w:noProof/>
          <w:sz w:val="24"/>
          <w:szCs w:val="24"/>
          <w:lang w:val="en-US" w:eastAsia="en-US"/>
        </w:rPr>
        <w:drawing>
          <wp:inline distT="0" distB="0" distL="0" distR="0" wp14:anchorId="2A63E99C" wp14:editId="5605C79C">
            <wp:extent cx="4958715" cy="2505710"/>
            <wp:effectExtent l="0" t="0" r="0" b="0"/>
            <wp:docPr id="43" name="Chart 4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C47AE4">
        <w:rPr>
          <w:sz w:val="24"/>
          <w:szCs w:val="24"/>
        </w:rPr>
        <w:t xml:space="preserve">                    </w:t>
      </w:r>
    </w:p>
    <w:p w:rsidR="00117310" w:rsidRPr="00C47AE4" w:rsidRDefault="00117310" w:rsidP="00117310">
      <w:pPr>
        <w:pStyle w:val="BodyTextIndent3"/>
        <w:tabs>
          <w:tab w:val="center" w:pos="4677"/>
          <w:tab w:val="left" w:pos="6746"/>
        </w:tabs>
        <w:spacing w:line="240" w:lineRule="auto"/>
        <w:ind w:firstLine="0"/>
        <w:jc w:val="left"/>
        <w:rPr>
          <w:i/>
          <w:sz w:val="20"/>
          <w:szCs w:val="20"/>
        </w:rPr>
      </w:pPr>
      <w:r w:rsidRPr="00C47AE4">
        <w:rPr>
          <w:i/>
          <w:sz w:val="20"/>
          <w:szCs w:val="20"/>
        </w:rPr>
        <w:t xml:space="preserve">  </w:t>
      </w:r>
    </w:p>
    <w:p w:rsidR="00117310" w:rsidRPr="00C47AE4" w:rsidRDefault="00117310" w:rsidP="00117310">
      <w:pPr>
        <w:pStyle w:val="BodyTextIndent3"/>
        <w:tabs>
          <w:tab w:val="center" w:pos="4677"/>
          <w:tab w:val="left" w:pos="6746"/>
        </w:tabs>
        <w:spacing w:line="240" w:lineRule="auto"/>
        <w:ind w:firstLine="993"/>
        <w:jc w:val="left"/>
        <w:rPr>
          <w:sz w:val="24"/>
          <w:szCs w:val="24"/>
        </w:rPr>
      </w:pPr>
      <w:r w:rsidRPr="00C47AE4">
        <w:rPr>
          <w:i/>
          <w:sz w:val="20"/>
          <w:szCs w:val="20"/>
        </w:rPr>
        <w:t>Sursă: Banca Naţională a Moldovei</w:t>
      </w:r>
    </w:p>
    <w:p w:rsidR="00117310" w:rsidRPr="00436366" w:rsidRDefault="00117310" w:rsidP="00117310">
      <w:pPr>
        <w:pStyle w:val="BodyTextIndent3"/>
        <w:spacing w:line="240" w:lineRule="auto"/>
        <w:ind w:firstLine="0"/>
        <w:rPr>
          <w:sz w:val="24"/>
          <w:szCs w:val="24"/>
        </w:rPr>
      </w:pPr>
    </w:p>
    <w:p w:rsidR="00117310" w:rsidRPr="00436366" w:rsidRDefault="00117310" w:rsidP="00117310">
      <w:pPr>
        <w:pStyle w:val="BodyTextIndent3"/>
        <w:spacing w:line="240" w:lineRule="auto"/>
        <w:ind w:firstLine="0"/>
        <w:rPr>
          <w:sz w:val="24"/>
          <w:szCs w:val="24"/>
        </w:rPr>
      </w:pPr>
      <w:r w:rsidRPr="00436366">
        <w:rPr>
          <w:sz w:val="24"/>
          <w:szCs w:val="24"/>
        </w:rPr>
        <w:t xml:space="preserve">În luna </w:t>
      </w:r>
      <w:r w:rsidR="003D4DBE" w:rsidRPr="00436366">
        <w:rPr>
          <w:sz w:val="24"/>
          <w:szCs w:val="24"/>
        </w:rPr>
        <w:t>ianuarie</w:t>
      </w:r>
      <w:r w:rsidRPr="00436366">
        <w:rPr>
          <w:sz w:val="24"/>
          <w:szCs w:val="24"/>
        </w:rPr>
        <w:t xml:space="preserve"> </w:t>
      </w:r>
      <w:r w:rsidR="003D4DBE" w:rsidRPr="00436366">
        <w:rPr>
          <w:sz w:val="24"/>
          <w:szCs w:val="24"/>
        </w:rPr>
        <w:t>2019</w:t>
      </w:r>
      <w:r w:rsidRPr="00436366">
        <w:rPr>
          <w:sz w:val="24"/>
          <w:szCs w:val="24"/>
        </w:rPr>
        <w:t xml:space="preserve"> au fot atrase depozite  noi în monedă naţională cu </w:t>
      </w:r>
      <w:r w:rsidR="00436366" w:rsidRPr="00436366">
        <w:rPr>
          <w:sz w:val="24"/>
          <w:szCs w:val="24"/>
        </w:rPr>
        <w:t>0,2</w:t>
      </w:r>
      <w:r w:rsidRPr="00436366">
        <w:rPr>
          <w:sz w:val="24"/>
          <w:szCs w:val="24"/>
        </w:rPr>
        <w:t xml:space="preserve">% mai mult comparativ cu luna </w:t>
      </w:r>
      <w:r w:rsidR="003D4DBE" w:rsidRPr="00436366">
        <w:rPr>
          <w:sz w:val="24"/>
          <w:szCs w:val="24"/>
        </w:rPr>
        <w:t>ianuarie</w:t>
      </w:r>
      <w:r w:rsidRPr="00436366">
        <w:rPr>
          <w:sz w:val="24"/>
          <w:szCs w:val="24"/>
        </w:rPr>
        <w:t xml:space="preserve"> </w:t>
      </w:r>
      <w:r w:rsidR="003D4DBE" w:rsidRPr="00436366">
        <w:rPr>
          <w:sz w:val="24"/>
          <w:szCs w:val="24"/>
        </w:rPr>
        <w:t>2018</w:t>
      </w:r>
      <w:r w:rsidRPr="00436366">
        <w:rPr>
          <w:sz w:val="24"/>
          <w:szCs w:val="24"/>
        </w:rPr>
        <w:t>.</w:t>
      </w:r>
    </w:p>
    <w:p w:rsidR="00117310" w:rsidRPr="00B1678E" w:rsidRDefault="00117310" w:rsidP="00117310">
      <w:pPr>
        <w:pStyle w:val="BodyTextIndent3"/>
        <w:spacing w:line="240" w:lineRule="auto"/>
        <w:ind w:firstLine="0"/>
        <w:rPr>
          <w:sz w:val="24"/>
          <w:szCs w:val="24"/>
        </w:rPr>
      </w:pPr>
      <w:r w:rsidRPr="00B1678E">
        <w:rPr>
          <w:sz w:val="24"/>
          <w:szCs w:val="24"/>
        </w:rPr>
        <w:t xml:space="preserve"> </w:t>
      </w:r>
    </w:p>
    <w:p w:rsidR="00117310" w:rsidRPr="00B1678E" w:rsidRDefault="00117310" w:rsidP="00117310">
      <w:pPr>
        <w:pStyle w:val="BodyTextIndent3"/>
        <w:spacing w:line="240" w:lineRule="auto"/>
        <w:ind w:firstLine="0"/>
        <w:rPr>
          <w:sz w:val="24"/>
          <w:szCs w:val="24"/>
        </w:rPr>
      </w:pPr>
      <w:r w:rsidRPr="00B1678E">
        <w:rPr>
          <w:sz w:val="24"/>
          <w:szCs w:val="24"/>
        </w:rPr>
        <w:t>Soldul</w:t>
      </w:r>
      <w:r w:rsidRPr="00B1678E">
        <w:rPr>
          <w:i/>
          <w:iCs/>
          <w:sz w:val="24"/>
          <w:szCs w:val="24"/>
        </w:rPr>
        <w:t xml:space="preserve"> depozitelor în valută străină</w:t>
      </w:r>
      <w:r w:rsidRPr="00B1678E">
        <w:rPr>
          <w:sz w:val="24"/>
          <w:szCs w:val="24"/>
        </w:rPr>
        <w:t xml:space="preserve"> este cu </w:t>
      </w:r>
      <w:r w:rsidR="001475EE" w:rsidRPr="00B1678E">
        <w:rPr>
          <w:sz w:val="24"/>
          <w:szCs w:val="24"/>
        </w:rPr>
        <w:t>3,</w:t>
      </w:r>
      <w:r w:rsidR="00436366" w:rsidRPr="00B1678E">
        <w:rPr>
          <w:sz w:val="24"/>
          <w:szCs w:val="24"/>
        </w:rPr>
        <w:t>6</w:t>
      </w:r>
      <w:r w:rsidRPr="00B1678E">
        <w:rPr>
          <w:sz w:val="24"/>
          <w:szCs w:val="24"/>
        </w:rPr>
        <w:t xml:space="preserve">% mai mare față de situația de la </w:t>
      </w:r>
      <w:proofErr w:type="spellStart"/>
      <w:r w:rsidRPr="00B1678E">
        <w:rPr>
          <w:sz w:val="24"/>
          <w:szCs w:val="24"/>
        </w:rPr>
        <w:t>sfîrşitul</w:t>
      </w:r>
      <w:proofErr w:type="spellEnd"/>
      <w:r w:rsidRPr="00B1678E">
        <w:rPr>
          <w:sz w:val="24"/>
          <w:szCs w:val="24"/>
        </w:rPr>
        <w:t xml:space="preserve"> lunii </w:t>
      </w:r>
      <w:r w:rsidR="003D4DBE" w:rsidRPr="00B1678E">
        <w:rPr>
          <w:sz w:val="24"/>
          <w:szCs w:val="24"/>
        </w:rPr>
        <w:t>ianuarie</w:t>
      </w:r>
      <w:r w:rsidRPr="00B1678E">
        <w:rPr>
          <w:sz w:val="24"/>
          <w:szCs w:val="24"/>
        </w:rPr>
        <w:t xml:space="preserve"> </w:t>
      </w:r>
      <w:r w:rsidR="003D4DBE" w:rsidRPr="00B1678E">
        <w:rPr>
          <w:sz w:val="24"/>
          <w:szCs w:val="24"/>
        </w:rPr>
        <w:t>2018</w:t>
      </w:r>
      <w:r w:rsidRPr="00B1678E">
        <w:rPr>
          <w:sz w:val="24"/>
          <w:szCs w:val="24"/>
        </w:rPr>
        <w:t xml:space="preserve">, </w:t>
      </w:r>
      <w:proofErr w:type="spellStart"/>
      <w:r w:rsidRPr="00B1678E">
        <w:rPr>
          <w:sz w:val="24"/>
          <w:szCs w:val="24"/>
        </w:rPr>
        <w:t>însumînd</w:t>
      </w:r>
      <w:proofErr w:type="spellEnd"/>
      <w:r w:rsidRPr="00B1678E">
        <w:rPr>
          <w:sz w:val="24"/>
          <w:szCs w:val="24"/>
        </w:rPr>
        <w:t xml:space="preserve"> </w:t>
      </w:r>
      <w:r w:rsidR="00436366" w:rsidRPr="00B1678E">
        <w:rPr>
          <w:sz w:val="24"/>
          <w:szCs w:val="24"/>
        </w:rPr>
        <w:t>25,</w:t>
      </w:r>
      <w:r w:rsidRPr="00B1678E">
        <w:rPr>
          <w:sz w:val="24"/>
          <w:szCs w:val="24"/>
        </w:rPr>
        <w:t xml:space="preserve">2 mild. lei. Deoarece soldul depozitelor în valută străină este recalculat în lei, valoarea acestora în mare parte depinde de evoluția cursului de schimb. În luna </w:t>
      </w:r>
      <w:r w:rsidR="003D4DBE" w:rsidRPr="00B1678E">
        <w:rPr>
          <w:sz w:val="24"/>
          <w:szCs w:val="24"/>
        </w:rPr>
        <w:t>ianuarie</w:t>
      </w:r>
      <w:r w:rsidRPr="00B1678E">
        <w:rPr>
          <w:sz w:val="24"/>
          <w:szCs w:val="24"/>
        </w:rPr>
        <w:t xml:space="preserve"> </w:t>
      </w:r>
      <w:r w:rsidR="003D4DBE" w:rsidRPr="00B1678E">
        <w:rPr>
          <w:sz w:val="24"/>
          <w:szCs w:val="24"/>
        </w:rPr>
        <w:t>2019</w:t>
      </w:r>
      <w:r w:rsidRPr="00B1678E">
        <w:rPr>
          <w:sz w:val="24"/>
          <w:szCs w:val="24"/>
        </w:rPr>
        <w:t xml:space="preserve"> au fost atrase depozite noi în valută străină cu 1</w:t>
      </w:r>
      <w:r w:rsidR="00436366" w:rsidRPr="00B1678E">
        <w:rPr>
          <w:sz w:val="24"/>
          <w:szCs w:val="24"/>
        </w:rPr>
        <w:t>2</w:t>
      </w:r>
      <w:r w:rsidRPr="00B1678E">
        <w:rPr>
          <w:sz w:val="24"/>
          <w:szCs w:val="24"/>
        </w:rPr>
        <w:t>,</w:t>
      </w:r>
      <w:r w:rsidR="00436366" w:rsidRPr="00B1678E">
        <w:rPr>
          <w:sz w:val="24"/>
          <w:szCs w:val="24"/>
        </w:rPr>
        <w:t>6</w:t>
      </w:r>
      <w:r w:rsidRPr="00B1678E">
        <w:rPr>
          <w:sz w:val="24"/>
          <w:szCs w:val="24"/>
        </w:rPr>
        <w:t xml:space="preserve">% mai </w:t>
      </w:r>
      <w:r w:rsidR="001475EE" w:rsidRPr="00B1678E">
        <w:rPr>
          <w:sz w:val="24"/>
          <w:szCs w:val="24"/>
        </w:rPr>
        <w:t>puțin</w:t>
      </w:r>
      <w:r w:rsidRPr="00B1678E">
        <w:rPr>
          <w:sz w:val="24"/>
          <w:szCs w:val="24"/>
        </w:rPr>
        <w:t xml:space="preserve"> față de luna </w:t>
      </w:r>
      <w:r w:rsidR="003D4DBE" w:rsidRPr="00B1678E">
        <w:rPr>
          <w:sz w:val="24"/>
          <w:szCs w:val="24"/>
        </w:rPr>
        <w:t>ianuarie</w:t>
      </w:r>
      <w:r w:rsidRPr="00B1678E">
        <w:rPr>
          <w:sz w:val="24"/>
          <w:szCs w:val="24"/>
        </w:rPr>
        <w:t xml:space="preserve"> </w:t>
      </w:r>
      <w:r w:rsidR="003D4DBE" w:rsidRPr="00B1678E">
        <w:rPr>
          <w:sz w:val="24"/>
          <w:szCs w:val="24"/>
        </w:rPr>
        <w:t>2018</w:t>
      </w:r>
      <w:r w:rsidRPr="00B1678E">
        <w:rPr>
          <w:sz w:val="24"/>
          <w:szCs w:val="24"/>
        </w:rPr>
        <w:t xml:space="preserve">. Ca factor determinant al evoluției pasive în acest domeniu poate fi menționată aprecierea monedei naționale față de dolarul SUA și Euro, preferința populației de a-și păstra economiile în lei, precum și ratele foarte joase ale </w:t>
      </w:r>
      <w:proofErr w:type="spellStart"/>
      <w:r w:rsidRPr="00B1678E">
        <w:rPr>
          <w:sz w:val="24"/>
          <w:szCs w:val="24"/>
        </w:rPr>
        <w:t>dobînzii</w:t>
      </w:r>
      <w:proofErr w:type="spellEnd"/>
      <w:r w:rsidRPr="00B1678E">
        <w:rPr>
          <w:sz w:val="24"/>
          <w:szCs w:val="24"/>
        </w:rPr>
        <w:t>.</w:t>
      </w:r>
    </w:p>
    <w:p w:rsidR="00117310" w:rsidRPr="00B1678E" w:rsidRDefault="00117310" w:rsidP="00117310">
      <w:pPr>
        <w:pStyle w:val="BodyTextIndent3"/>
        <w:spacing w:line="240" w:lineRule="auto"/>
        <w:ind w:firstLine="0"/>
        <w:jc w:val="center"/>
        <w:rPr>
          <w:sz w:val="24"/>
          <w:szCs w:val="24"/>
        </w:rPr>
      </w:pPr>
    </w:p>
    <w:p w:rsidR="00117310" w:rsidRPr="00B1678E" w:rsidRDefault="00117310" w:rsidP="00117310">
      <w:pPr>
        <w:pStyle w:val="BodyTextIndent3"/>
        <w:spacing w:line="240" w:lineRule="auto"/>
        <w:ind w:firstLine="0"/>
        <w:rPr>
          <w:sz w:val="24"/>
          <w:szCs w:val="24"/>
        </w:rPr>
      </w:pPr>
      <w:r w:rsidRPr="00B1678E">
        <w:rPr>
          <w:sz w:val="24"/>
          <w:szCs w:val="24"/>
        </w:rPr>
        <w:t xml:space="preserve">Volumul de </w:t>
      </w:r>
      <w:r w:rsidRPr="00B1678E">
        <w:rPr>
          <w:i/>
          <w:iCs/>
          <w:sz w:val="24"/>
          <w:szCs w:val="24"/>
        </w:rPr>
        <w:t xml:space="preserve">bani în </w:t>
      </w:r>
      <w:proofErr w:type="spellStart"/>
      <w:r w:rsidRPr="00B1678E">
        <w:rPr>
          <w:i/>
          <w:iCs/>
          <w:sz w:val="24"/>
          <w:szCs w:val="24"/>
        </w:rPr>
        <w:t>circulaţie</w:t>
      </w:r>
      <w:proofErr w:type="spellEnd"/>
      <w:r w:rsidRPr="00B1678E">
        <w:rPr>
          <w:sz w:val="24"/>
          <w:szCs w:val="24"/>
        </w:rPr>
        <w:t xml:space="preserve"> a constituit </w:t>
      </w:r>
      <w:r w:rsidR="001475EE" w:rsidRPr="00B1678E">
        <w:rPr>
          <w:sz w:val="24"/>
          <w:szCs w:val="24"/>
        </w:rPr>
        <w:t>2</w:t>
      </w:r>
      <w:r w:rsidR="00B1678E" w:rsidRPr="00B1678E">
        <w:rPr>
          <w:sz w:val="24"/>
          <w:szCs w:val="24"/>
        </w:rPr>
        <w:t>0,5</w:t>
      </w:r>
      <w:r w:rsidR="001475EE" w:rsidRPr="00B1678E">
        <w:rPr>
          <w:sz w:val="24"/>
          <w:szCs w:val="24"/>
        </w:rPr>
        <w:t xml:space="preserve"> </w:t>
      </w:r>
      <w:r w:rsidRPr="00B1678E">
        <w:rPr>
          <w:sz w:val="24"/>
          <w:szCs w:val="24"/>
        </w:rPr>
        <w:t xml:space="preserve">mild. lei și a crescut cu </w:t>
      </w:r>
      <w:r w:rsidR="001475EE" w:rsidRPr="00B1678E">
        <w:rPr>
          <w:sz w:val="24"/>
          <w:szCs w:val="24"/>
        </w:rPr>
        <w:t>1</w:t>
      </w:r>
      <w:r w:rsidR="00B1678E" w:rsidRPr="00B1678E">
        <w:rPr>
          <w:sz w:val="24"/>
          <w:szCs w:val="24"/>
        </w:rPr>
        <w:t>1,4</w:t>
      </w:r>
      <w:r w:rsidRPr="00B1678E">
        <w:rPr>
          <w:sz w:val="24"/>
          <w:szCs w:val="24"/>
        </w:rPr>
        <w:t xml:space="preserve">% faţă de situaţia de la </w:t>
      </w:r>
      <w:proofErr w:type="spellStart"/>
      <w:r w:rsidRPr="00B1678E">
        <w:rPr>
          <w:sz w:val="24"/>
          <w:szCs w:val="24"/>
        </w:rPr>
        <w:t>sfîrşitul</w:t>
      </w:r>
      <w:proofErr w:type="spellEnd"/>
      <w:r w:rsidRPr="00B1678E">
        <w:rPr>
          <w:sz w:val="24"/>
          <w:szCs w:val="24"/>
        </w:rPr>
        <w:t xml:space="preserve"> lunii </w:t>
      </w:r>
      <w:r w:rsidR="003D4DBE" w:rsidRPr="00B1678E">
        <w:rPr>
          <w:sz w:val="24"/>
          <w:szCs w:val="24"/>
        </w:rPr>
        <w:t>ianuarie</w:t>
      </w:r>
      <w:r w:rsidRPr="00B1678E">
        <w:rPr>
          <w:sz w:val="24"/>
          <w:szCs w:val="24"/>
        </w:rPr>
        <w:t xml:space="preserve"> </w:t>
      </w:r>
      <w:r w:rsidR="003D4DBE" w:rsidRPr="00B1678E">
        <w:rPr>
          <w:sz w:val="24"/>
          <w:szCs w:val="24"/>
        </w:rPr>
        <w:t>2018</w:t>
      </w:r>
      <w:r w:rsidRPr="00B1678E">
        <w:rPr>
          <w:sz w:val="24"/>
          <w:szCs w:val="24"/>
        </w:rPr>
        <w:t>. Banii în circulație reprezintă numerarul implicat </w:t>
      </w:r>
      <w:r w:rsidRPr="00B1678E">
        <w:rPr>
          <w:bCs/>
          <w:sz w:val="24"/>
          <w:szCs w:val="24"/>
        </w:rPr>
        <w:t>în</w:t>
      </w:r>
      <w:r w:rsidRPr="00B1678E">
        <w:rPr>
          <w:sz w:val="24"/>
          <w:szCs w:val="24"/>
        </w:rPr>
        <w:t xml:space="preserve"> procesul de conversie, și anume: bancnote, monede metalice etc. În sfera schimbului de mărfuri banii ca mijloc de </w:t>
      </w:r>
      <w:proofErr w:type="spellStart"/>
      <w:r w:rsidRPr="00B1678E">
        <w:rPr>
          <w:sz w:val="24"/>
          <w:szCs w:val="24"/>
        </w:rPr>
        <w:t>circulaţie</w:t>
      </w:r>
      <w:proofErr w:type="spellEnd"/>
      <w:r w:rsidRPr="00B1678E">
        <w:rPr>
          <w:sz w:val="24"/>
          <w:szCs w:val="24"/>
        </w:rPr>
        <w:t xml:space="preserve"> asigură executarea plăţilor pentru cumpărarea materiei prime şi a materialelor şi achitarea cu producătorii de mărfuri pentru producţia finită. Respectiv, creșterea continuă a banilor în </w:t>
      </w:r>
      <w:proofErr w:type="spellStart"/>
      <w:r w:rsidRPr="00B1678E">
        <w:rPr>
          <w:sz w:val="24"/>
          <w:szCs w:val="24"/>
        </w:rPr>
        <w:t>cirulație</w:t>
      </w:r>
      <w:proofErr w:type="spellEnd"/>
      <w:r w:rsidRPr="00B1678E">
        <w:rPr>
          <w:sz w:val="24"/>
          <w:szCs w:val="24"/>
        </w:rPr>
        <w:t xml:space="preserve"> reflectă intensitatea activității economice.</w:t>
      </w:r>
    </w:p>
    <w:p w:rsidR="00117310" w:rsidRPr="00E7163E" w:rsidRDefault="00117310" w:rsidP="00117310"/>
    <w:p w:rsidR="00117310" w:rsidRPr="00E7163E" w:rsidRDefault="00117310" w:rsidP="00117310">
      <w:pPr>
        <w:pStyle w:val="Heading7"/>
        <w:keepNext w:val="0"/>
        <w:jc w:val="both"/>
        <w:rPr>
          <w:b w:val="0"/>
          <w:bCs w:val="0"/>
        </w:rPr>
      </w:pPr>
      <w:r w:rsidRPr="00E7163E">
        <w:rPr>
          <w:b w:val="0"/>
          <w:iCs/>
        </w:rPr>
        <w:t xml:space="preserve">Datorită nivelului redus al </w:t>
      </w:r>
      <w:r w:rsidRPr="00E7163E">
        <w:rPr>
          <w:b w:val="0"/>
          <w:bCs w:val="0"/>
        </w:rPr>
        <w:t xml:space="preserve">ratelor </w:t>
      </w:r>
      <w:proofErr w:type="spellStart"/>
      <w:r w:rsidRPr="00E7163E">
        <w:rPr>
          <w:b w:val="0"/>
          <w:bCs w:val="0"/>
        </w:rPr>
        <w:t>dobînzii</w:t>
      </w:r>
      <w:proofErr w:type="spellEnd"/>
      <w:r w:rsidRPr="00E7163E">
        <w:rPr>
          <w:b w:val="0"/>
          <w:bCs w:val="0"/>
        </w:rPr>
        <w:t xml:space="preserve"> la credite</w:t>
      </w:r>
      <w:r w:rsidRPr="00E7163E">
        <w:rPr>
          <w:b w:val="0"/>
          <w:iCs/>
        </w:rPr>
        <w:t xml:space="preserve">, precum și lansării programului ”Prima casă”, </w:t>
      </w:r>
      <w:r w:rsidRPr="00E7163E">
        <w:rPr>
          <w:i/>
          <w:iCs/>
        </w:rPr>
        <w:t>creditarea</w:t>
      </w:r>
      <w:r w:rsidRPr="00E7163E">
        <w:rPr>
          <w:b w:val="0"/>
          <w:iCs/>
        </w:rPr>
        <w:t xml:space="preserve"> economiei se înviorează.</w:t>
      </w:r>
      <w:r w:rsidRPr="00E7163E">
        <w:rPr>
          <w:i/>
          <w:iCs/>
        </w:rPr>
        <w:t xml:space="preserve"> </w:t>
      </w:r>
      <w:r w:rsidRPr="00E7163E">
        <w:rPr>
          <w:b w:val="0"/>
        </w:rPr>
        <w:t>Soldul creditelor în economie a marcat o creştere</w:t>
      </w:r>
      <w:r w:rsidRPr="00E7163E">
        <w:rPr>
          <w:b w:val="0"/>
          <w:bCs w:val="0"/>
        </w:rPr>
        <w:t xml:space="preserve"> cu </w:t>
      </w:r>
      <w:r w:rsidR="001475EE" w:rsidRPr="00E7163E">
        <w:rPr>
          <w:b w:val="0"/>
          <w:bCs w:val="0"/>
        </w:rPr>
        <w:t>4</w:t>
      </w:r>
      <w:r w:rsidRPr="00E7163E">
        <w:rPr>
          <w:b w:val="0"/>
          <w:bCs w:val="0"/>
        </w:rPr>
        <w:t>,</w:t>
      </w:r>
      <w:r w:rsidR="006F7426">
        <w:rPr>
          <w:b w:val="0"/>
          <w:bCs w:val="0"/>
        </w:rPr>
        <w:t>2</w:t>
      </w:r>
      <w:r w:rsidRPr="00E7163E">
        <w:rPr>
          <w:b w:val="0"/>
          <w:bCs w:val="0"/>
        </w:rPr>
        <w:t>%</w:t>
      </w:r>
      <w:r w:rsidRPr="00E7163E">
        <w:rPr>
          <w:b w:val="0"/>
        </w:rPr>
        <w:t xml:space="preserve"> faţă de nivelul înregistrat la </w:t>
      </w:r>
      <w:proofErr w:type="spellStart"/>
      <w:r w:rsidRPr="00E7163E">
        <w:rPr>
          <w:b w:val="0"/>
        </w:rPr>
        <w:t>sfîrşitul</w:t>
      </w:r>
      <w:proofErr w:type="spellEnd"/>
      <w:r w:rsidRPr="00E7163E">
        <w:rPr>
          <w:b w:val="0"/>
        </w:rPr>
        <w:t xml:space="preserve"> lunii </w:t>
      </w:r>
      <w:r w:rsidR="003D4DBE" w:rsidRPr="00E7163E">
        <w:rPr>
          <w:b w:val="0"/>
          <w:bCs w:val="0"/>
        </w:rPr>
        <w:t>ianuarie</w:t>
      </w:r>
      <w:r w:rsidRPr="00E7163E">
        <w:rPr>
          <w:b w:val="0"/>
          <w:bCs w:val="0"/>
        </w:rPr>
        <w:t xml:space="preserve"> </w:t>
      </w:r>
      <w:r w:rsidR="003D4DBE" w:rsidRPr="00E7163E">
        <w:rPr>
          <w:b w:val="0"/>
          <w:bCs w:val="0"/>
        </w:rPr>
        <w:t>2018</w:t>
      </w:r>
      <w:r w:rsidRPr="00E7163E">
        <w:rPr>
          <w:b w:val="0"/>
          <w:bCs w:val="0"/>
        </w:rPr>
        <w:t>, constituind 39,</w:t>
      </w:r>
      <w:r w:rsidR="006F7426">
        <w:rPr>
          <w:b w:val="0"/>
          <w:bCs w:val="0"/>
        </w:rPr>
        <w:t>3</w:t>
      </w:r>
      <w:r w:rsidRPr="00E7163E">
        <w:rPr>
          <w:b w:val="0"/>
          <w:bCs w:val="0"/>
        </w:rPr>
        <w:t xml:space="preserve"> mild. lei. Soldul creditelor în valută străină s-a m</w:t>
      </w:r>
      <w:r w:rsidR="006F7426">
        <w:rPr>
          <w:b w:val="0"/>
          <w:bCs w:val="0"/>
        </w:rPr>
        <w:t>icș</w:t>
      </w:r>
      <w:r w:rsidRPr="00E7163E">
        <w:rPr>
          <w:b w:val="0"/>
          <w:bCs w:val="0"/>
        </w:rPr>
        <w:t xml:space="preserve">orat cu </w:t>
      </w:r>
      <w:r w:rsidR="006F7426">
        <w:rPr>
          <w:b w:val="0"/>
          <w:bCs w:val="0"/>
        </w:rPr>
        <w:t>3,3</w:t>
      </w:r>
      <w:r w:rsidRPr="00E7163E">
        <w:rPr>
          <w:b w:val="0"/>
          <w:bCs w:val="0"/>
        </w:rPr>
        <w:t xml:space="preserve">%, iar al celor în monedă naţională a fost în creștere cu </w:t>
      </w:r>
      <w:r w:rsidR="006F7426">
        <w:rPr>
          <w:b w:val="0"/>
          <w:bCs w:val="0"/>
        </w:rPr>
        <w:t>10,</w:t>
      </w:r>
      <w:r w:rsidRPr="00E7163E">
        <w:rPr>
          <w:b w:val="0"/>
          <w:bCs w:val="0"/>
        </w:rPr>
        <w:t xml:space="preserve">5%. Cu toate acestea,  există reticența din partea băncilor în a oferi credite, dată fiind norma rezervelor obligatorii înaltă și profitabilitatea acestora. </w:t>
      </w:r>
    </w:p>
    <w:p w:rsidR="00117310" w:rsidRPr="00E7163E" w:rsidRDefault="00117310" w:rsidP="00117310"/>
    <w:p w:rsidR="00117310" w:rsidRPr="00E7163E" w:rsidRDefault="007F7316" w:rsidP="00117310">
      <w:pPr>
        <w:jc w:val="both"/>
        <w:rPr>
          <w:sz w:val="24"/>
          <w:szCs w:val="24"/>
        </w:rPr>
      </w:pPr>
      <w:r>
        <w:rPr>
          <w:sz w:val="24"/>
          <w:szCs w:val="24"/>
        </w:rPr>
        <w:t>În portofoliu</w:t>
      </w:r>
      <w:r w:rsidR="00136D1F">
        <w:rPr>
          <w:sz w:val="24"/>
          <w:szCs w:val="24"/>
        </w:rPr>
        <w:t>l</w:t>
      </w:r>
      <w:r>
        <w:rPr>
          <w:sz w:val="24"/>
          <w:szCs w:val="24"/>
        </w:rPr>
        <w:t xml:space="preserve"> de cre</w:t>
      </w:r>
      <w:r w:rsidR="00117310" w:rsidRPr="00E7163E">
        <w:rPr>
          <w:sz w:val="24"/>
          <w:szCs w:val="24"/>
        </w:rPr>
        <w:t>dite</w:t>
      </w:r>
      <w:r>
        <w:rPr>
          <w:sz w:val="24"/>
          <w:szCs w:val="24"/>
        </w:rPr>
        <w:t xml:space="preserve"> acordate</w:t>
      </w:r>
      <w:r w:rsidR="00117310" w:rsidRPr="00E7163E">
        <w:rPr>
          <w:sz w:val="24"/>
          <w:szCs w:val="24"/>
        </w:rPr>
        <w:t xml:space="preserve"> cea mai mare pondere – 2</w:t>
      </w:r>
      <w:r w:rsidR="00B1678E" w:rsidRPr="00E7163E">
        <w:rPr>
          <w:sz w:val="24"/>
          <w:szCs w:val="24"/>
        </w:rPr>
        <w:t>4,8</w:t>
      </w:r>
      <w:r w:rsidR="00117310" w:rsidRPr="00E7163E">
        <w:rPr>
          <w:sz w:val="24"/>
          <w:szCs w:val="24"/>
        </w:rPr>
        <w:t xml:space="preserve">% - revine creditelor </w:t>
      </w:r>
      <w:r w:rsidR="001E3A5A">
        <w:rPr>
          <w:sz w:val="24"/>
          <w:szCs w:val="24"/>
        </w:rPr>
        <w:t>destina</w:t>
      </w:r>
      <w:r w:rsidR="00117310" w:rsidRPr="00E7163E">
        <w:rPr>
          <w:sz w:val="24"/>
          <w:szCs w:val="24"/>
        </w:rPr>
        <w:t>te comerțului, apoi 14,</w:t>
      </w:r>
      <w:r w:rsidR="001E3A5A">
        <w:rPr>
          <w:sz w:val="24"/>
          <w:szCs w:val="24"/>
        </w:rPr>
        <w:t>6</w:t>
      </w:r>
      <w:r w:rsidR="00117310" w:rsidRPr="00E7163E">
        <w:rPr>
          <w:sz w:val="24"/>
          <w:szCs w:val="24"/>
        </w:rPr>
        <w:t>% - consumului, 1</w:t>
      </w:r>
      <w:r w:rsidR="009D00E8" w:rsidRPr="00E7163E">
        <w:rPr>
          <w:sz w:val="24"/>
          <w:szCs w:val="24"/>
        </w:rPr>
        <w:t>1,</w:t>
      </w:r>
      <w:r w:rsidR="00B1678E" w:rsidRPr="00E7163E">
        <w:rPr>
          <w:sz w:val="24"/>
          <w:szCs w:val="24"/>
        </w:rPr>
        <w:t>5</w:t>
      </w:r>
      <w:r w:rsidR="00117310" w:rsidRPr="00E7163E">
        <w:rPr>
          <w:sz w:val="24"/>
          <w:szCs w:val="24"/>
        </w:rPr>
        <w:t>% - pentru procur</w:t>
      </w:r>
      <w:r w:rsidR="009D00E8" w:rsidRPr="00E7163E">
        <w:rPr>
          <w:sz w:val="24"/>
          <w:szCs w:val="24"/>
        </w:rPr>
        <w:t>area/construcţia imobilului, 9,</w:t>
      </w:r>
      <w:r w:rsidR="00B1678E" w:rsidRPr="00E7163E">
        <w:rPr>
          <w:sz w:val="24"/>
          <w:szCs w:val="24"/>
        </w:rPr>
        <w:t>8</w:t>
      </w:r>
      <w:r w:rsidR="00117310" w:rsidRPr="00E7163E">
        <w:rPr>
          <w:sz w:val="24"/>
          <w:szCs w:val="24"/>
        </w:rPr>
        <w:t xml:space="preserve">% - </w:t>
      </w:r>
      <w:r w:rsidR="00117310" w:rsidRPr="00E7163E">
        <w:rPr>
          <w:sz w:val="24"/>
          <w:szCs w:val="24"/>
        </w:rPr>
        <w:lastRenderedPageBreak/>
        <w:t xml:space="preserve">industriei alimentare etc. Cea mai intensă creștere a fost înregistrată la creditele acordate pentru procurarea/construcţia imobilului, volumul cărora s-a majorat </w:t>
      </w:r>
      <w:r w:rsidR="00E7163E" w:rsidRPr="00E7163E">
        <w:rPr>
          <w:sz w:val="24"/>
          <w:szCs w:val="24"/>
        </w:rPr>
        <w:t xml:space="preserve">față de ianuarie 2018 </w:t>
      </w:r>
      <w:r w:rsidR="00B1678E" w:rsidRPr="00E7163E">
        <w:rPr>
          <w:sz w:val="24"/>
          <w:szCs w:val="24"/>
        </w:rPr>
        <w:t xml:space="preserve">de circa 1,5 ori </w:t>
      </w:r>
      <w:r w:rsidR="00117310" w:rsidRPr="00E7163E">
        <w:rPr>
          <w:sz w:val="24"/>
          <w:szCs w:val="24"/>
        </w:rPr>
        <w:t>(1</w:t>
      </w:r>
      <w:r w:rsidR="001E3A5A">
        <w:rPr>
          <w:sz w:val="24"/>
          <w:szCs w:val="24"/>
        </w:rPr>
        <w:t>,4</w:t>
      </w:r>
      <w:r w:rsidR="00117310" w:rsidRPr="00E7163E">
        <w:rPr>
          <w:sz w:val="24"/>
          <w:szCs w:val="24"/>
        </w:rPr>
        <w:t xml:space="preserve"> </w:t>
      </w:r>
      <w:proofErr w:type="spellStart"/>
      <w:r w:rsidR="00117310" w:rsidRPr="00E7163E">
        <w:rPr>
          <w:sz w:val="24"/>
          <w:szCs w:val="24"/>
        </w:rPr>
        <w:t>mil</w:t>
      </w:r>
      <w:r w:rsidR="001E3A5A">
        <w:rPr>
          <w:sz w:val="24"/>
          <w:szCs w:val="24"/>
        </w:rPr>
        <w:t>d</w:t>
      </w:r>
      <w:r w:rsidR="00117310" w:rsidRPr="00E7163E">
        <w:rPr>
          <w:sz w:val="24"/>
          <w:szCs w:val="24"/>
        </w:rPr>
        <w:t>.lei</w:t>
      </w:r>
      <w:proofErr w:type="spellEnd"/>
      <w:r w:rsidR="00117310" w:rsidRPr="00E7163E">
        <w:rPr>
          <w:sz w:val="24"/>
          <w:szCs w:val="24"/>
        </w:rPr>
        <w:t xml:space="preserve">), fapt care se explică inclusiv prin lansarea în luna martie </w:t>
      </w:r>
      <w:r w:rsidR="00136D1F">
        <w:rPr>
          <w:sz w:val="24"/>
          <w:szCs w:val="24"/>
        </w:rPr>
        <w:t>2018</w:t>
      </w:r>
      <w:r w:rsidR="00117310" w:rsidRPr="00E7163E">
        <w:rPr>
          <w:sz w:val="24"/>
          <w:szCs w:val="24"/>
        </w:rPr>
        <w:t xml:space="preserve"> a programului "Prima Casă".</w:t>
      </w:r>
    </w:p>
    <w:p w:rsidR="00117310" w:rsidRPr="001C375A" w:rsidRDefault="00117310" w:rsidP="00117310">
      <w:pPr>
        <w:jc w:val="both"/>
      </w:pPr>
    </w:p>
    <w:p w:rsidR="00117310" w:rsidRPr="001C375A" w:rsidRDefault="00117310" w:rsidP="00117310">
      <w:pPr>
        <w:pStyle w:val="BodyTextIndent3"/>
        <w:spacing w:line="240" w:lineRule="auto"/>
        <w:ind w:firstLine="0"/>
        <w:jc w:val="center"/>
        <w:rPr>
          <w:b/>
          <w:i/>
          <w:sz w:val="24"/>
          <w:szCs w:val="24"/>
        </w:rPr>
      </w:pPr>
      <w:r w:rsidRPr="001C375A">
        <w:rPr>
          <w:b/>
          <w:i/>
          <w:sz w:val="24"/>
          <w:szCs w:val="24"/>
        </w:rPr>
        <w:t xml:space="preserve">Soldul creditelor şi ratele </w:t>
      </w:r>
      <w:proofErr w:type="spellStart"/>
      <w:r w:rsidRPr="001C375A">
        <w:rPr>
          <w:b/>
          <w:i/>
          <w:sz w:val="24"/>
          <w:szCs w:val="24"/>
        </w:rPr>
        <w:t>dobînzii</w:t>
      </w:r>
      <w:proofErr w:type="spellEnd"/>
      <w:r w:rsidRPr="001C375A">
        <w:rPr>
          <w:b/>
          <w:i/>
          <w:sz w:val="24"/>
          <w:szCs w:val="24"/>
        </w:rPr>
        <w:t xml:space="preserve"> (medii lunare)</w:t>
      </w:r>
    </w:p>
    <w:p w:rsidR="00117310" w:rsidRPr="001C375A" w:rsidRDefault="00117310" w:rsidP="00117310">
      <w:pPr>
        <w:pStyle w:val="BodyTextIndent3"/>
        <w:spacing w:line="240" w:lineRule="auto"/>
        <w:ind w:firstLine="0"/>
        <w:jc w:val="center"/>
        <w:rPr>
          <w:b/>
          <w:i/>
          <w:sz w:val="24"/>
          <w:szCs w:val="24"/>
        </w:rPr>
      </w:pPr>
      <w:r w:rsidRPr="001C375A">
        <w:rPr>
          <w:b/>
          <w:i/>
          <w:sz w:val="24"/>
          <w:szCs w:val="24"/>
        </w:rPr>
        <w:t xml:space="preserve"> la </w:t>
      </w:r>
      <w:proofErr w:type="spellStart"/>
      <w:r w:rsidRPr="001C375A">
        <w:rPr>
          <w:b/>
          <w:i/>
          <w:sz w:val="24"/>
          <w:szCs w:val="24"/>
        </w:rPr>
        <w:t>sfîrşitul</w:t>
      </w:r>
      <w:proofErr w:type="spellEnd"/>
      <w:r w:rsidRPr="001C375A">
        <w:rPr>
          <w:b/>
          <w:i/>
          <w:sz w:val="24"/>
          <w:szCs w:val="24"/>
        </w:rPr>
        <w:t xml:space="preserve"> lunii </w:t>
      </w:r>
      <w:r w:rsidR="003D4DBE" w:rsidRPr="001C375A">
        <w:rPr>
          <w:b/>
          <w:i/>
          <w:sz w:val="24"/>
          <w:szCs w:val="24"/>
        </w:rPr>
        <w:t>ianuarie</w:t>
      </w:r>
      <w:r w:rsidRPr="001C375A">
        <w:rPr>
          <w:b/>
          <w:i/>
          <w:sz w:val="24"/>
          <w:szCs w:val="24"/>
        </w:rPr>
        <w:t xml:space="preserve"> 201</w:t>
      </w:r>
      <w:r w:rsidR="001E3A5A">
        <w:rPr>
          <w:b/>
          <w:i/>
          <w:sz w:val="24"/>
          <w:szCs w:val="24"/>
        </w:rPr>
        <w:t>5</w:t>
      </w:r>
      <w:r w:rsidRPr="001C375A">
        <w:rPr>
          <w:b/>
          <w:i/>
          <w:sz w:val="24"/>
          <w:szCs w:val="24"/>
        </w:rPr>
        <w:t>-</w:t>
      </w:r>
      <w:r w:rsidR="003D4DBE" w:rsidRPr="001C375A">
        <w:rPr>
          <w:b/>
          <w:i/>
          <w:sz w:val="24"/>
          <w:szCs w:val="24"/>
        </w:rPr>
        <w:t>2019</w:t>
      </w:r>
    </w:p>
    <w:p w:rsidR="00117310" w:rsidRPr="001C375A" w:rsidRDefault="00117310" w:rsidP="00117310">
      <w:pPr>
        <w:pStyle w:val="BodyTextIndent3"/>
        <w:spacing w:line="240" w:lineRule="auto"/>
        <w:ind w:firstLine="0"/>
        <w:jc w:val="center"/>
        <w:rPr>
          <w:i/>
          <w:sz w:val="20"/>
          <w:szCs w:val="20"/>
        </w:rPr>
      </w:pPr>
      <w:r w:rsidRPr="001C375A">
        <w:rPr>
          <w:i/>
          <w:sz w:val="20"/>
          <w:szCs w:val="20"/>
        </w:rPr>
        <w:t xml:space="preserve"> </w:t>
      </w:r>
      <w:r w:rsidRPr="001C375A">
        <w:rPr>
          <w:noProof/>
          <w:sz w:val="20"/>
          <w:szCs w:val="20"/>
          <w:lang w:val="en-US" w:eastAsia="en-US"/>
        </w:rPr>
        <w:drawing>
          <wp:inline distT="0" distB="0" distL="0" distR="0" wp14:anchorId="36C77F84" wp14:editId="1E73CE9C">
            <wp:extent cx="5240020" cy="2347595"/>
            <wp:effectExtent l="0" t="0" r="0" b="14605"/>
            <wp:docPr id="47" name="Chart 4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17310" w:rsidRPr="001C375A" w:rsidRDefault="00117310" w:rsidP="00117310">
      <w:pPr>
        <w:pStyle w:val="BodyTextIndent3"/>
        <w:spacing w:line="240" w:lineRule="auto"/>
        <w:ind w:firstLine="709"/>
        <w:jc w:val="left"/>
        <w:rPr>
          <w:i/>
          <w:sz w:val="20"/>
          <w:szCs w:val="20"/>
        </w:rPr>
      </w:pPr>
      <w:r w:rsidRPr="001C375A">
        <w:rPr>
          <w:i/>
          <w:sz w:val="20"/>
          <w:szCs w:val="20"/>
        </w:rPr>
        <w:t>Sursă: Banca Naţională a Moldovei</w:t>
      </w:r>
    </w:p>
    <w:p w:rsidR="00117310" w:rsidRPr="00F05334" w:rsidRDefault="00117310" w:rsidP="00117310">
      <w:pPr>
        <w:jc w:val="both"/>
        <w:rPr>
          <w:sz w:val="24"/>
          <w:szCs w:val="24"/>
        </w:rPr>
      </w:pPr>
    </w:p>
    <w:p w:rsidR="00117310" w:rsidRPr="00F05334" w:rsidRDefault="00117310" w:rsidP="00117310">
      <w:pPr>
        <w:jc w:val="both"/>
        <w:rPr>
          <w:sz w:val="24"/>
          <w:szCs w:val="24"/>
        </w:rPr>
      </w:pPr>
      <w:r w:rsidRPr="00F05334">
        <w:rPr>
          <w:sz w:val="24"/>
          <w:szCs w:val="24"/>
        </w:rPr>
        <w:t xml:space="preserve">În luna </w:t>
      </w:r>
      <w:r w:rsidR="003D4DBE" w:rsidRPr="00F05334">
        <w:rPr>
          <w:sz w:val="24"/>
          <w:szCs w:val="24"/>
        </w:rPr>
        <w:t>ianuarie</w:t>
      </w:r>
      <w:r w:rsidRPr="00F05334">
        <w:rPr>
          <w:sz w:val="24"/>
          <w:szCs w:val="24"/>
        </w:rPr>
        <w:t xml:space="preserve"> </w:t>
      </w:r>
      <w:r w:rsidR="003D4DBE" w:rsidRPr="00F05334">
        <w:rPr>
          <w:sz w:val="24"/>
          <w:szCs w:val="24"/>
        </w:rPr>
        <w:t>2019</w:t>
      </w:r>
      <w:r w:rsidRPr="00F05334">
        <w:rPr>
          <w:sz w:val="24"/>
          <w:szCs w:val="24"/>
        </w:rPr>
        <w:t xml:space="preserve"> a fost acordat un volum de credite noi în monedă națională mai mare </w:t>
      </w:r>
      <w:r w:rsidR="00F05334" w:rsidRPr="00F05334">
        <w:rPr>
          <w:sz w:val="24"/>
          <w:szCs w:val="24"/>
        </w:rPr>
        <w:t>cu 38,8%</w:t>
      </w:r>
      <w:r w:rsidRPr="00F05334">
        <w:rPr>
          <w:sz w:val="24"/>
          <w:szCs w:val="24"/>
        </w:rPr>
        <w:t xml:space="preserve"> față de cel din luna </w:t>
      </w:r>
      <w:r w:rsidR="003D4DBE" w:rsidRPr="00F05334">
        <w:rPr>
          <w:sz w:val="24"/>
          <w:szCs w:val="24"/>
        </w:rPr>
        <w:t>ianuarie</w:t>
      </w:r>
      <w:r w:rsidRPr="00F05334">
        <w:rPr>
          <w:sz w:val="24"/>
          <w:szCs w:val="24"/>
        </w:rPr>
        <w:t xml:space="preserve"> </w:t>
      </w:r>
      <w:r w:rsidR="003D4DBE" w:rsidRPr="00F05334">
        <w:rPr>
          <w:sz w:val="24"/>
          <w:szCs w:val="24"/>
        </w:rPr>
        <w:t>2018</w:t>
      </w:r>
      <w:r w:rsidRPr="00F05334">
        <w:rPr>
          <w:sz w:val="24"/>
          <w:szCs w:val="24"/>
        </w:rPr>
        <w:t xml:space="preserve">. Totodată, volumul de credite noi acordate în valută străină </w:t>
      </w:r>
      <w:r w:rsidR="00F05334" w:rsidRPr="00F05334">
        <w:rPr>
          <w:sz w:val="24"/>
          <w:szCs w:val="24"/>
        </w:rPr>
        <w:t>s-</w:t>
      </w:r>
      <w:r w:rsidRPr="00F05334">
        <w:rPr>
          <w:sz w:val="24"/>
          <w:szCs w:val="24"/>
        </w:rPr>
        <w:t xml:space="preserve">a </w:t>
      </w:r>
      <w:r w:rsidR="00F05334" w:rsidRPr="00F05334">
        <w:rPr>
          <w:sz w:val="24"/>
          <w:szCs w:val="24"/>
        </w:rPr>
        <w:t xml:space="preserve">majorat doar </w:t>
      </w:r>
      <w:r w:rsidRPr="00F05334">
        <w:rPr>
          <w:sz w:val="24"/>
          <w:szCs w:val="24"/>
        </w:rPr>
        <w:t xml:space="preserve">cu </w:t>
      </w:r>
      <w:r w:rsidR="00F05334" w:rsidRPr="00F05334">
        <w:rPr>
          <w:sz w:val="24"/>
          <w:szCs w:val="24"/>
        </w:rPr>
        <w:t>1,</w:t>
      </w:r>
      <w:r w:rsidR="00F05AD2" w:rsidRPr="00F05334">
        <w:rPr>
          <w:sz w:val="24"/>
          <w:szCs w:val="24"/>
        </w:rPr>
        <w:t>9</w:t>
      </w:r>
      <w:r w:rsidRPr="00F05334">
        <w:rPr>
          <w:sz w:val="24"/>
          <w:szCs w:val="24"/>
        </w:rPr>
        <w:t xml:space="preserve">%. </w:t>
      </w:r>
    </w:p>
    <w:p w:rsidR="00117310" w:rsidRPr="00F05334" w:rsidRDefault="00117310" w:rsidP="00117310">
      <w:pPr>
        <w:jc w:val="both"/>
      </w:pPr>
    </w:p>
    <w:p w:rsidR="00117310" w:rsidRPr="00F05334" w:rsidRDefault="00117310" w:rsidP="00117310">
      <w:pPr>
        <w:jc w:val="both"/>
        <w:rPr>
          <w:sz w:val="24"/>
          <w:szCs w:val="24"/>
        </w:rPr>
      </w:pPr>
      <w:r w:rsidRPr="00F05334">
        <w:rPr>
          <w:b/>
          <w:bCs/>
          <w:sz w:val="24"/>
          <w:szCs w:val="24"/>
        </w:rPr>
        <w:t xml:space="preserve">Rata de bază </w:t>
      </w:r>
      <w:r w:rsidRPr="00F05334">
        <w:rPr>
          <w:sz w:val="24"/>
          <w:szCs w:val="24"/>
        </w:rPr>
        <w:t xml:space="preserve">se aprobă în calitate de rată de </w:t>
      </w:r>
      <w:proofErr w:type="spellStart"/>
      <w:r w:rsidRPr="00F05334">
        <w:rPr>
          <w:sz w:val="24"/>
          <w:szCs w:val="24"/>
        </w:rPr>
        <w:t>referinţă</w:t>
      </w:r>
      <w:proofErr w:type="spellEnd"/>
      <w:r w:rsidRPr="00F05334">
        <w:rPr>
          <w:sz w:val="24"/>
          <w:szCs w:val="24"/>
        </w:rPr>
        <w:t xml:space="preserve"> pentru principalele </w:t>
      </w:r>
      <w:proofErr w:type="spellStart"/>
      <w:r w:rsidRPr="00F05334">
        <w:rPr>
          <w:sz w:val="24"/>
          <w:szCs w:val="24"/>
        </w:rPr>
        <w:t>operaţiuni</w:t>
      </w:r>
      <w:proofErr w:type="spellEnd"/>
      <w:r w:rsidRPr="00F05334">
        <w:rPr>
          <w:sz w:val="24"/>
          <w:szCs w:val="24"/>
        </w:rPr>
        <w:t xml:space="preserve"> de politică monetară pe termen scurt. Aceasta se stabilește de către BNM în rezultatul evaluării balanței riscurilor interne și externe cărora ar putea fi supusă economia Republicii Moldova și a perspectivelor inflației pe termen scurt și mediu. Începînd cu 05.12.</w:t>
      </w:r>
      <w:r w:rsidR="003D4DBE" w:rsidRPr="00F05334">
        <w:rPr>
          <w:sz w:val="24"/>
          <w:szCs w:val="24"/>
        </w:rPr>
        <w:t>2018</w:t>
      </w:r>
      <w:r w:rsidRPr="00F05334">
        <w:rPr>
          <w:sz w:val="24"/>
          <w:szCs w:val="24"/>
        </w:rPr>
        <w:t xml:space="preserve">, rata de bază este </w:t>
      </w:r>
      <w:r w:rsidR="00B46DF3">
        <w:rPr>
          <w:sz w:val="24"/>
          <w:szCs w:val="24"/>
        </w:rPr>
        <w:t xml:space="preserve">menținută la un nivel stabil de </w:t>
      </w:r>
      <w:r w:rsidRPr="00F05334">
        <w:rPr>
          <w:sz w:val="24"/>
          <w:szCs w:val="24"/>
        </w:rPr>
        <w:t>6,5%.</w:t>
      </w:r>
    </w:p>
    <w:p w:rsidR="00117310" w:rsidRPr="00F05334" w:rsidRDefault="00117310" w:rsidP="00117310">
      <w:pPr>
        <w:jc w:val="both"/>
        <w:rPr>
          <w:sz w:val="24"/>
          <w:szCs w:val="24"/>
        </w:rPr>
      </w:pPr>
    </w:p>
    <w:p w:rsidR="00117310" w:rsidRPr="00F05334" w:rsidRDefault="00117310" w:rsidP="00117310">
      <w:pPr>
        <w:jc w:val="center"/>
        <w:rPr>
          <w:b/>
          <w:bCs/>
          <w:i/>
          <w:iCs/>
          <w:sz w:val="24"/>
          <w:szCs w:val="24"/>
        </w:rPr>
      </w:pPr>
      <w:r w:rsidRPr="00F05334">
        <w:rPr>
          <w:b/>
          <w:bCs/>
          <w:i/>
          <w:iCs/>
          <w:sz w:val="24"/>
          <w:szCs w:val="24"/>
        </w:rPr>
        <w:t xml:space="preserve">Evoluția ratei de bază și a ratelor </w:t>
      </w:r>
      <w:proofErr w:type="spellStart"/>
      <w:r w:rsidRPr="00F05334">
        <w:rPr>
          <w:b/>
          <w:bCs/>
          <w:i/>
          <w:iCs/>
          <w:sz w:val="24"/>
          <w:szCs w:val="24"/>
        </w:rPr>
        <w:t>dobînzii</w:t>
      </w:r>
      <w:proofErr w:type="spellEnd"/>
      <w:r w:rsidRPr="00F05334">
        <w:rPr>
          <w:b/>
          <w:bCs/>
          <w:i/>
          <w:iCs/>
          <w:sz w:val="24"/>
          <w:szCs w:val="24"/>
        </w:rPr>
        <w:t xml:space="preserve"> la depozite și credite, %</w:t>
      </w:r>
    </w:p>
    <w:p w:rsidR="00117310" w:rsidRPr="00F05334" w:rsidRDefault="00117310" w:rsidP="00117310">
      <w:pPr>
        <w:jc w:val="both"/>
        <w:rPr>
          <w:sz w:val="24"/>
          <w:szCs w:val="24"/>
        </w:rPr>
      </w:pPr>
    </w:p>
    <w:p w:rsidR="00117310" w:rsidRPr="00F05334" w:rsidRDefault="00117310" w:rsidP="00117310">
      <w:pPr>
        <w:jc w:val="both"/>
        <w:rPr>
          <w:sz w:val="24"/>
          <w:szCs w:val="24"/>
        </w:rPr>
      </w:pPr>
      <w:r w:rsidRPr="00F05334">
        <w:rPr>
          <w:noProof/>
          <w:sz w:val="24"/>
          <w:szCs w:val="24"/>
          <w:lang w:val="en-US" w:eastAsia="en-US"/>
        </w:rPr>
        <w:drawing>
          <wp:inline distT="0" distB="0" distL="0" distR="0" wp14:anchorId="5BCA007A" wp14:editId="6F811EEF">
            <wp:extent cx="6154420" cy="2549525"/>
            <wp:effectExtent l="0" t="0" r="0" b="0"/>
            <wp:docPr id="48" name="Chart 4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05334">
        <w:rPr>
          <w:i/>
          <w:iCs/>
        </w:rPr>
        <w:t>Sursă: Banca Națională a Moldovei</w:t>
      </w:r>
    </w:p>
    <w:p w:rsidR="00117310" w:rsidRPr="00F05334" w:rsidRDefault="00117310" w:rsidP="00117310">
      <w:pPr>
        <w:pStyle w:val="BodyTextIndent3"/>
        <w:spacing w:line="240" w:lineRule="auto"/>
        <w:ind w:firstLine="0"/>
        <w:jc w:val="center"/>
        <w:rPr>
          <w:b/>
          <w:i/>
          <w:sz w:val="24"/>
          <w:szCs w:val="24"/>
        </w:rPr>
      </w:pPr>
    </w:p>
    <w:p w:rsidR="00117310" w:rsidRPr="00F05334" w:rsidRDefault="00117310" w:rsidP="00117310">
      <w:pPr>
        <w:jc w:val="both"/>
        <w:rPr>
          <w:sz w:val="24"/>
          <w:szCs w:val="24"/>
        </w:rPr>
      </w:pPr>
      <w:r w:rsidRPr="00F05334">
        <w:rPr>
          <w:sz w:val="24"/>
          <w:szCs w:val="24"/>
        </w:rPr>
        <w:t>Gradul de acoperire a creditelor prin d</w:t>
      </w:r>
      <w:r w:rsidR="00F05AD2" w:rsidRPr="00F05334">
        <w:rPr>
          <w:sz w:val="24"/>
          <w:szCs w:val="24"/>
        </w:rPr>
        <w:t>epozite a fost la nivel de 15</w:t>
      </w:r>
      <w:r w:rsidR="001E3A5A">
        <w:rPr>
          <w:sz w:val="24"/>
          <w:szCs w:val="24"/>
        </w:rPr>
        <w:t>7,1</w:t>
      </w:r>
      <w:r w:rsidRPr="00F05334">
        <w:rPr>
          <w:sz w:val="24"/>
          <w:szCs w:val="24"/>
        </w:rPr>
        <w:t>%. Aceasta indică faptul că există resurse pentru intensificarea creditării, iar băncile comerciale au lichiditatea necesară pentru finanţarea economiei.</w:t>
      </w:r>
    </w:p>
    <w:p w:rsidR="002B5791" w:rsidRPr="00F05334" w:rsidRDefault="002B5791" w:rsidP="00117310">
      <w:pPr>
        <w:jc w:val="both"/>
      </w:pPr>
    </w:p>
    <w:p w:rsidR="00117310" w:rsidRPr="00F05334" w:rsidRDefault="00117310" w:rsidP="00117310">
      <w:pPr>
        <w:jc w:val="both"/>
        <w:rPr>
          <w:sz w:val="24"/>
          <w:szCs w:val="24"/>
        </w:rPr>
      </w:pPr>
      <w:r w:rsidRPr="00F05334">
        <w:rPr>
          <w:sz w:val="24"/>
          <w:szCs w:val="24"/>
        </w:rPr>
        <w:lastRenderedPageBreak/>
        <w:t xml:space="preserve">Un indicator important care arată atît eficiența bancară, cît și riscul creditării, este nivelul creditelor neperformante. Acestea reprezintă datoriile care cel mai probabil nu vor fi rambursate, astfel </w:t>
      </w:r>
      <w:proofErr w:type="spellStart"/>
      <w:r w:rsidRPr="00F05334">
        <w:rPr>
          <w:sz w:val="24"/>
          <w:szCs w:val="24"/>
        </w:rPr>
        <w:t>creînd</w:t>
      </w:r>
      <w:proofErr w:type="spellEnd"/>
      <w:r w:rsidRPr="00F05334">
        <w:rPr>
          <w:sz w:val="24"/>
          <w:szCs w:val="24"/>
        </w:rPr>
        <w:t xml:space="preserve"> probleme și dificultăți băncilor creditoare. Soldul datoriei la credite neperformante ca pondere în soldul total al datoriei la credite după circa 2 ani de evoluție ascendentă, înregistrează o tendință de diminuare de la 18,5% în luna </w:t>
      </w:r>
      <w:r w:rsidR="001E3A5A">
        <w:rPr>
          <w:sz w:val="24"/>
          <w:szCs w:val="24"/>
        </w:rPr>
        <w:t>noiemb</w:t>
      </w:r>
      <w:r w:rsidR="003D4DBE" w:rsidRPr="00F05334">
        <w:rPr>
          <w:sz w:val="24"/>
          <w:szCs w:val="24"/>
        </w:rPr>
        <w:t>rie</w:t>
      </w:r>
      <w:r w:rsidRPr="00F05334">
        <w:rPr>
          <w:sz w:val="24"/>
          <w:szCs w:val="24"/>
        </w:rPr>
        <w:t xml:space="preserve"> </w:t>
      </w:r>
      <w:r w:rsidR="003D4DBE" w:rsidRPr="00F05334">
        <w:rPr>
          <w:sz w:val="24"/>
          <w:szCs w:val="24"/>
        </w:rPr>
        <w:t>2018</w:t>
      </w:r>
      <w:r w:rsidRPr="00F05334">
        <w:rPr>
          <w:sz w:val="24"/>
          <w:szCs w:val="24"/>
        </w:rPr>
        <w:t xml:space="preserve"> (cînd a fost atins nivelul maxim) pînă </w:t>
      </w:r>
      <w:r w:rsidR="002B5791" w:rsidRPr="00F05334">
        <w:rPr>
          <w:sz w:val="24"/>
          <w:szCs w:val="24"/>
        </w:rPr>
        <w:t>la 1</w:t>
      </w:r>
      <w:r w:rsidR="00896512" w:rsidRPr="00F05334">
        <w:rPr>
          <w:sz w:val="24"/>
          <w:szCs w:val="24"/>
        </w:rPr>
        <w:t>2,</w:t>
      </w:r>
      <w:r w:rsidR="00F05334" w:rsidRPr="00F05334">
        <w:rPr>
          <w:sz w:val="24"/>
          <w:szCs w:val="24"/>
        </w:rPr>
        <w:t>2</w:t>
      </w:r>
      <w:r w:rsidR="002B5791" w:rsidRPr="00F05334">
        <w:rPr>
          <w:sz w:val="24"/>
          <w:szCs w:val="24"/>
        </w:rPr>
        <w:t xml:space="preserve">% în luna </w:t>
      </w:r>
      <w:r w:rsidR="003D4DBE" w:rsidRPr="00F05334">
        <w:rPr>
          <w:sz w:val="24"/>
          <w:szCs w:val="24"/>
        </w:rPr>
        <w:t>ianuarie</w:t>
      </w:r>
      <w:r w:rsidR="002B5791" w:rsidRPr="00F05334">
        <w:rPr>
          <w:sz w:val="24"/>
          <w:szCs w:val="24"/>
        </w:rPr>
        <w:t xml:space="preserve"> </w:t>
      </w:r>
      <w:r w:rsidR="003D4DBE" w:rsidRPr="00F05334">
        <w:rPr>
          <w:sz w:val="24"/>
          <w:szCs w:val="24"/>
        </w:rPr>
        <w:t>2019</w:t>
      </w:r>
      <w:r w:rsidRPr="00F05334">
        <w:rPr>
          <w:sz w:val="24"/>
          <w:szCs w:val="24"/>
        </w:rPr>
        <w:t xml:space="preserve">. Diminuarea ponderii creditelor neperformante se explică prin faptul că băncile au aplicat unele proceduri noi (separarea activelor „bune” de cele „rele” etc.), care au condus la reducerea stocului acestora.  </w:t>
      </w:r>
    </w:p>
    <w:p w:rsidR="00117310" w:rsidRPr="00F05334" w:rsidRDefault="00117310" w:rsidP="00117310">
      <w:pPr>
        <w:jc w:val="both"/>
        <w:rPr>
          <w:sz w:val="24"/>
          <w:szCs w:val="24"/>
        </w:rPr>
      </w:pPr>
    </w:p>
    <w:p w:rsidR="00117310" w:rsidRPr="00F05334" w:rsidRDefault="00117310" w:rsidP="00117310">
      <w:pPr>
        <w:jc w:val="center"/>
        <w:rPr>
          <w:sz w:val="24"/>
          <w:szCs w:val="24"/>
        </w:rPr>
      </w:pPr>
      <w:r w:rsidRPr="00F05334">
        <w:rPr>
          <w:b/>
          <w:bCs/>
          <w:i/>
          <w:iCs/>
          <w:sz w:val="24"/>
          <w:szCs w:val="24"/>
        </w:rPr>
        <w:t xml:space="preserve">Datoria la credite neperformante, </w:t>
      </w:r>
      <w:r w:rsidRPr="00F05334">
        <w:rPr>
          <w:i/>
          <w:iCs/>
          <w:sz w:val="24"/>
          <w:szCs w:val="24"/>
        </w:rPr>
        <w:t>% din total datorie la credite</w:t>
      </w:r>
    </w:p>
    <w:p w:rsidR="00117310" w:rsidRPr="00F05334" w:rsidRDefault="00117310" w:rsidP="00117310">
      <w:pPr>
        <w:jc w:val="both"/>
        <w:rPr>
          <w:sz w:val="24"/>
          <w:szCs w:val="24"/>
        </w:rPr>
      </w:pPr>
      <w:r w:rsidRPr="00F05334">
        <w:rPr>
          <w:noProof/>
          <w:sz w:val="24"/>
          <w:szCs w:val="24"/>
          <w:lang w:val="en-US" w:eastAsia="en-US"/>
        </w:rPr>
        <w:drawing>
          <wp:inline distT="0" distB="0" distL="0" distR="0" wp14:anchorId="478CB621" wp14:editId="7C33DAD7">
            <wp:extent cx="6216015" cy="2171700"/>
            <wp:effectExtent l="0" t="0" r="13335" b="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17310" w:rsidRPr="00F05334" w:rsidRDefault="00117310" w:rsidP="00117310">
      <w:pPr>
        <w:rPr>
          <w:i/>
          <w:iCs/>
        </w:rPr>
      </w:pPr>
      <w:r w:rsidRPr="00F05334">
        <w:rPr>
          <w:b/>
          <w:bCs/>
          <w:i/>
          <w:iCs/>
        </w:rPr>
        <w:t xml:space="preserve"> </w:t>
      </w:r>
      <w:r w:rsidRPr="00F05334">
        <w:rPr>
          <w:i/>
          <w:iCs/>
        </w:rPr>
        <w:t>Sursă: Banca Națională a Moldovei</w:t>
      </w:r>
    </w:p>
    <w:p w:rsidR="00117310" w:rsidRPr="00F05334" w:rsidRDefault="00117310" w:rsidP="00117310">
      <w:pPr>
        <w:rPr>
          <w:i/>
          <w:iCs/>
        </w:rPr>
      </w:pPr>
    </w:p>
    <w:p w:rsidR="00303E67" w:rsidRPr="00F05334" w:rsidRDefault="00303E67" w:rsidP="20A081F4">
      <w:pPr>
        <w:rPr>
          <w:i/>
          <w:iCs/>
        </w:rPr>
      </w:pPr>
    </w:p>
    <w:p w:rsidR="00117310" w:rsidRPr="00F05334" w:rsidRDefault="00117310" w:rsidP="20A081F4">
      <w:pPr>
        <w:rPr>
          <w:i/>
          <w:iCs/>
        </w:rPr>
      </w:pPr>
    </w:p>
    <w:p w:rsidR="00CE27A1" w:rsidRPr="00F05334" w:rsidRDefault="0047451C" w:rsidP="000348C7">
      <w:pPr>
        <w:pStyle w:val="ListParagraph"/>
        <w:numPr>
          <w:ilvl w:val="0"/>
          <w:numId w:val="7"/>
        </w:numPr>
        <w:jc w:val="center"/>
        <w:rPr>
          <w:b/>
          <w:sz w:val="24"/>
          <w:szCs w:val="24"/>
        </w:rPr>
      </w:pPr>
      <w:r w:rsidRPr="00F05334">
        <w:rPr>
          <w:b/>
          <w:sz w:val="24"/>
          <w:szCs w:val="24"/>
        </w:rPr>
        <w:t>Sectorul public</w:t>
      </w:r>
    </w:p>
    <w:p w:rsidR="007D1BF1" w:rsidRPr="00667A84" w:rsidRDefault="007D1BF1" w:rsidP="007D1BF1">
      <w:pPr>
        <w:rPr>
          <w:b/>
          <w:sz w:val="24"/>
          <w:szCs w:val="24"/>
          <w:u w:val="single"/>
        </w:rPr>
      </w:pPr>
    </w:p>
    <w:p w:rsidR="00147036" w:rsidRPr="00147036" w:rsidRDefault="00147036" w:rsidP="00147036">
      <w:pPr>
        <w:rPr>
          <w:b/>
          <w:sz w:val="24"/>
          <w:szCs w:val="24"/>
        </w:rPr>
      </w:pPr>
      <w:r w:rsidRPr="00147036">
        <w:rPr>
          <w:b/>
          <w:sz w:val="24"/>
          <w:szCs w:val="24"/>
        </w:rPr>
        <w:t>Bugetul public național</w:t>
      </w:r>
    </w:p>
    <w:p w:rsidR="00147036" w:rsidRPr="00147036" w:rsidRDefault="00147036" w:rsidP="00147036">
      <w:pPr>
        <w:jc w:val="both"/>
        <w:rPr>
          <w:b/>
          <w:bCs/>
          <w:sz w:val="24"/>
          <w:szCs w:val="24"/>
          <w:u w:val="single"/>
        </w:rPr>
      </w:pPr>
    </w:p>
    <w:p w:rsidR="00147036" w:rsidRPr="00147036" w:rsidRDefault="00147036" w:rsidP="00147036">
      <w:pPr>
        <w:jc w:val="both"/>
        <w:outlineLvl w:val="6"/>
        <w:rPr>
          <w:sz w:val="24"/>
          <w:szCs w:val="24"/>
        </w:rPr>
      </w:pPr>
      <w:r w:rsidRPr="00147036">
        <w:rPr>
          <w:sz w:val="24"/>
          <w:szCs w:val="24"/>
        </w:rPr>
        <w:t xml:space="preserve">În luna ianuarie a anului 2019 bugetul public național (BPN) a fost caracterizat de următoarele cifre: un volum al </w:t>
      </w:r>
      <w:r w:rsidRPr="00147036">
        <w:rPr>
          <w:b/>
          <w:sz w:val="24"/>
          <w:szCs w:val="24"/>
        </w:rPr>
        <w:t>veniturilor</w:t>
      </w:r>
      <w:r w:rsidRPr="00147036">
        <w:rPr>
          <w:sz w:val="24"/>
          <w:szCs w:val="24"/>
        </w:rPr>
        <w:t xml:space="preserve"> de 4,2 </w:t>
      </w:r>
      <w:proofErr w:type="spellStart"/>
      <w:r w:rsidRPr="00147036">
        <w:rPr>
          <w:sz w:val="24"/>
          <w:szCs w:val="24"/>
        </w:rPr>
        <w:t>mild.lei</w:t>
      </w:r>
      <w:proofErr w:type="spellEnd"/>
      <w:r w:rsidRPr="00147036">
        <w:rPr>
          <w:sz w:val="24"/>
          <w:szCs w:val="24"/>
        </w:rPr>
        <w:t xml:space="preserve"> și un ritm de creștere de 8,8%, un volum de </w:t>
      </w:r>
      <w:r w:rsidRPr="00147036">
        <w:rPr>
          <w:b/>
          <w:bCs/>
          <w:sz w:val="24"/>
          <w:szCs w:val="24"/>
        </w:rPr>
        <w:t>cheltuieli</w:t>
      </w:r>
      <w:r w:rsidRPr="00147036">
        <w:rPr>
          <w:b/>
          <w:sz w:val="24"/>
          <w:szCs w:val="24"/>
        </w:rPr>
        <w:t xml:space="preserve"> </w:t>
      </w:r>
      <w:r w:rsidRPr="00147036">
        <w:rPr>
          <w:sz w:val="24"/>
          <w:szCs w:val="24"/>
        </w:rPr>
        <w:t>de 4,1 mild. lei și</w:t>
      </w:r>
      <w:r w:rsidRPr="00147036">
        <w:rPr>
          <w:bCs/>
          <w:sz w:val="24"/>
          <w:szCs w:val="24"/>
        </w:rPr>
        <w:t xml:space="preserve"> </w:t>
      </w:r>
      <w:r w:rsidRPr="00147036">
        <w:rPr>
          <w:sz w:val="24"/>
          <w:szCs w:val="24"/>
        </w:rPr>
        <w:t>23,9% majorare. Veniturile bugetare au depășit cheltuielile cu 89,3 mil.lei.</w:t>
      </w:r>
    </w:p>
    <w:p w:rsidR="00147036" w:rsidRPr="00147036" w:rsidRDefault="00147036" w:rsidP="00147036">
      <w:pPr>
        <w:jc w:val="both"/>
        <w:outlineLvl w:val="6"/>
        <w:rPr>
          <w:sz w:val="24"/>
          <w:szCs w:val="24"/>
        </w:rPr>
      </w:pPr>
    </w:p>
    <w:p w:rsidR="00147036" w:rsidRPr="00147036" w:rsidRDefault="00147036" w:rsidP="00147036">
      <w:pPr>
        <w:jc w:val="center"/>
        <w:outlineLvl w:val="6"/>
        <w:rPr>
          <w:i/>
          <w:sz w:val="24"/>
          <w:szCs w:val="24"/>
        </w:rPr>
      </w:pPr>
      <w:r w:rsidRPr="00147036">
        <w:rPr>
          <w:b/>
          <w:i/>
          <w:sz w:val="24"/>
          <w:szCs w:val="24"/>
        </w:rPr>
        <w:t xml:space="preserve">Indicatorii principali privind executarea Bugetului Public Național, </w:t>
      </w:r>
      <w:r w:rsidRPr="00147036">
        <w:rPr>
          <w:i/>
          <w:sz w:val="24"/>
          <w:szCs w:val="24"/>
        </w:rPr>
        <w:t>mil.lei</w:t>
      </w:r>
    </w:p>
    <w:p w:rsidR="00147036" w:rsidRPr="00147036" w:rsidRDefault="00147036" w:rsidP="00147036">
      <w:pPr>
        <w:jc w:val="both"/>
        <w:outlineLvl w:val="6"/>
        <w:rPr>
          <w:sz w:val="24"/>
          <w:szCs w:val="24"/>
          <w:u w:val="single"/>
        </w:rPr>
      </w:pPr>
    </w:p>
    <w:tbl>
      <w:tblPr>
        <w:tblStyle w:val="GridTable1Light-Accent511112"/>
        <w:tblW w:w="0" w:type="auto"/>
        <w:jc w:val="center"/>
        <w:tblInd w:w="0" w:type="dxa"/>
        <w:tblLook w:val="04A0" w:firstRow="1" w:lastRow="0" w:firstColumn="1" w:lastColumn="0" w:noHBand="0" w:noVBand="1"/>
      </w:tblPr>
      <w:tblGrid>
        <w:gridCol w:w="2818"/>
        <w:gridCol w:w="1198"/>
        <w:gridCol w:w="1186"/>
        <w:gridCol w:w="1195"/>
        <w:gridCol w:w="1390"/>
        <w:gridCol w:w="1390"/>
      </w:tblGrid>
      <w:tr w:rsidR="00147036" w:rsidRPr="00147036" w:rsidTr="005F621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18" w:type="dxa"/>
            <w:vMerge w:val="restart"/>
            <w:tcBorders>
              <w:top w:val="single" w:sz="4" w:space="0" w:color="B4C6E7"/>
              <w:left w:val="single" w:sz="4" w:space="0" w:color="B4C6E7"/>
              <w:bottom w:val="single" w:sz="4" w:space="0" w:color="B4C6E7"/>
              <w:right w:val="single" w:sz="4" w:space="0" w:color="B4C6E7"/>
            </w:tcBorders>
            <w:shd w:val="clear" w:color="auto" w:fill="DEEAF6"/>
          </w:tcPr>
          <w:p w:rsidR="00147036" w:rsidRPr="00147036" w:rsidRDefault="00147036" w:rsidP="00147036">
            <w:pPr>
              <w:jc w:val="both"/>
              <w:outlineLvl w:val="6"/>
              <w:rPr>
                <w:rFonts w:ascii="Times New Roman" w:eastAsia="Times New Roman" w:hAnsi="Times New Roman"/>
                <w:u w:val="single"/>
              </w:rPr>
            </w:pPr>
          </w:p>
        </w:tc>
        <w:tc>
          <w:tcPr>
            <w:tcW w:w="1198" w:type="dxa"/>
            <w:vMerge w:val="restart"/>
            <w:tcBorders>
              <w:top w:val="single" w:sz="4" w:space="0" w:color="B4C6E7"/>
              <w:left w:val="single" w:sz="4" w:space="0" w:color="B4C6E7"/>
              <w:bottom w:val="single" w:sz="4" w:space="0" w:color="B4C6E7"/>
              <w:right w:val="single" w:sz="4" w:space="0" w:color="B4C6E7"/>
            </w:tcBorders>
            <w:shd w:val="clear" w:color="auto" w:fill="DEEAF6"/>
            <w:vAlign w:val="center"/>
            <w:hideMark/>
          </w:tcPr>
          <w:p w:rsidR="00147036" w:rsidRPr="00147036" w:rsidRDefault="00147036" w:rsidP="00147036">
            <w:pPr>
              <w:jc w:val="center"/>
              <w:outlineLvl w:val="6"/>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147036">
              <w:rPr>
                <w:rFonts w:ascii="Times New Roman" w:eastAsia="Times New Roman" w:hAnsi="Times New Roman"/>
              </w:rPr>
              <w:t>Bugetul Public Național</w:t>
            </w:r>
          </w:p>
        </w:tc>
        <w:tc>
          <w:tcPr>
            <w:tcW w:w="5161" w:type="dxa"/>
            <w:gridSpan w:val="4"/>
            <w:tcBorders>
              <w:top w:val="single" w:sz="4" w:space="0" w:color="B4C6E7"/>
              <w:left w:val="single" w:sz="4" w:space="0" w:color="B4C6E7"/>
              <w:right w:val="single" w:sz="4" w:space="0" w:color="B4C6E7"/>
            </w:tcBorders>
            <w:shd w:val="clear" w:color="auto" w:fill="DEEAF6"/>
            <w:vAlign w:val="center"/>
            <w:hideMark/>
          </w:tcPr>
          <w:p w:rsidR="00147036" w:rsidRPr="00147036" w:rsidRDefault="00147036" w:rsidP="00147036">
            <w:pPr>
              <w:jc w:val="center"/>
              <w:outlineLvl w:val="6"/>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147036">
              <w:rPr>
                <w:rFonts w:ascii="Times New Roman" w:eastAsia="Times New Roman" w:hAnsi="Times New Roman"/>
              </w:rPr>
              <w:t>Inclusiv:</w:t>
            </w:r>
          </w:p>
        </w:tc>
      </w:tr>
      <w:tr w:rsidR="00147036" w:rsidRPr="00147036" w:rsidTr="005F6215">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4C6E7"/>
              <w:left w:val="single" w:sz="4" w:space="0" w:color="B4C6E7"/>
              <w:bottom w:val="single" w:sz="4" w:space="0" w:color="B4C6E7"/>
              <w:right w:val="single" w:sz="4" w:space="0" w:color="B4C6E7"/>
            </w:tcBorders>
            <w:vAlign w:val="center"/>
            <w:hideMark/>
          </w:tcPr>
          <w:p w:rsidR="00147036" w:rsidRPr="00147036" w:rsidRDefault="00147036" w:rsidP="00147036">
            <w:pPr>
              <w:rPr>
                <w:rFonts w:ascii="Times New Roman" w:eastAsia="Times New Roman" w:hAnsi="Times New Roman"/>
                <w:u w:val="single"/>
              </w:rPr>
            </w:pPr>
          </w:p>
        </w:tc>
        <w:tc>
          <w:tcPr>
            <w:tcW w:w="0" w:type="auto"/>
            <w:vMerge/>
            <w:tcBorders>
              <w:top w:val="single" w:sz="4" w:space="0" w:color="B4C6E7"/>
              <w:left w:val="single" w:sz="4" w:space="0" w:color="B4C6E7"/>
              <w:bottom w:val="single" w:sz="4" w:space="0" w:color="B4C6E7"/>
              <w:right w:val="single" w:sz="4" w:space="0" w:color="B4C6E7"/>
            </w:tcBorders>
            <w:vAlign w:val="center"/>
            <w:hideMark/>
          </w:tcPr>
          <w:p w:rsidR="00147036" w:rsidRPr="00147036" w:rsidRDefault="00147036" w:rsidP="001470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u w:val="single"/>
              </w:rPr>
            </w:pPr>
          </w:p>
        </w:tc>
        <w:tc>
          <w:tcPr>
            <w:tcW w:w="1186" w:type="dxa"/>
            <w:tcBorders>
              <w:top w:val="single" w:sz="4" w:space="0" w:color="B4C6E7"/>
              <w:left w:val="single" w:sz="4" w:space="0" w:color="B4C6E7"/>
              <w:bottom w:val="single" w:sz="4" w:space="0" w:color="B4C6E7"/>
              <w:right w:val="single" w:sz="4" w:space="0" w:color="B4C6E7"/>
            </w:tcBorders>
            <w:shd w:val="clear" w:color="auto" w:fill="DEEAF6"/>
            <w:vAlign w:val="center"/>
            <w:hideMark/>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147036">
              <w:rPr>
                <w:rFonts w:ascii="Times New Roman" w:eastAsia="Times New Roman" w:hAnsi="Times New Roman"/>
              </w:rPr>
              <w:t>Bugetul de Stat</w:t>
            </w:r>
          </w:p>
        </w:tc>
        <w:tc>
          <w:tcPr>
            <w:tcW w:w="1195" w:type="dxa"/>
            <w:tcBorders>
              <w:top w:val="single" w:sz="4" w:space="0" w:color="B4C6E7"/>
              <w:left w:val="single" w:sz="4" w:space="0" w:color="B4C6E7"/>
              <w:bottom w:val="single" w:sz="4" w:space="0" w:color="B4C6E7"/>
              <w:right w:val="single" w:sz="4" w:space="0" w:color="B4C6E7"/>
            </w:tcBorders>
            <w:shd w:val="clear" w:color="auto" w:fill="DEEAF6"/>
            <w:vAlign w:val="center"/>
            <w:hideMark/>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147036">
              <w:rPr>
                <w:rFonts w:ascii="Times New Roman" w:eastAsia="Times New Roman" w:hAnsi="Times New Roman"/>
              </w:rPr>
              <w:t>Bugetele locale</w:t>
            </w:r>
          </w:p>
        </w:tc>
        <w:tc>
          <w:tcPr>
            <w:tcW w:w="1390" w:type="dxa"/>
            <w:tcBorders>
              <w:top w:val="single" w:sz="4" w:space="0" w:color="B4C6E7"/>
              <w:left w:val="single" w:sz="4" w:space="0" w:color="B4C6E7"/>
              <w:bottom w:val="single" w:sz="4" w:space="0" w:color="B4C6E7"/>
              <w:right w:val="single" w:sz="4" w:space="0" w:color="B4C6E7"/>
            </w:tcBorders>
            <w:shd w:val="clear" w:color="auto" w:fill="DEEAF6"/>
            <w:vAlign w:val="center"/>
            <w:hideMark/>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147036">
              <w:rPr>
                <w:rFonts w:ascii="Times New Roman" w:eastAsia="Times New Roman" w:hAnsi="Times New Roman"/>
              </w:rPr>
              <w:t>Bugetul Asigurărilor Sociale de Stat</w:t>
            </w:r>
          </w:p>
        </w:tc>
        <w:tc>
          <w:tcPr>
            <w:tcW w:w="1390" w:type="dxa"/>
            <w:tcBorders>
              <w:top w:val="single" w:sz="4" w:space="0" w:color="B4C6E7"/>
              <w:left w:val="single" w:sz="4" w:space="0" w:color="B4C6E7"/>
              <w:bottom w:val="single" w:sz="4" w:space="0" w:color="B4C6E7"/>
              <w:right w:val="single" w:sz="4" w:space="0" w:color="B4C6E7"/>
            </w:tcBorders>
            <w:shd w:val="clear" w:color="auto" w:fill="DEEAF6"/>
            <w:vAlign w:val="center"/>
            <w:hideMark/>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147036">
              <w:rPr>
                <w:rFonts w:ascii="Times New Roman" w:eastAsia="Times New Roman" w:hAnsi="Times New Roman"/>
              </w:rPr>
              <w:t>Fondurile Asigurărilor de Asistență Medicală</w:t>
            </w:r>
          </w:p>
        </w:tc>
      </w:tr>
      <w:tr w:rsidR="00147036" w:rsidRPr="00147036" w:rsidTr="005F6215">
        <w:trPr>
          <w:jc w:val="center"/>
        </w:trPr>
        <w:tc>
          <w:tcPr>
            <w:cnfStyle w:val="001000000000" w:firstRow="0" w:lastRow="0" w:firstColumn="1" w:lastColumn="0" w:oddVBand="0" w:evenVBand="0" w:oddHBand="0" w:evenHBand="0" w:firstRowFirstColumn="0" w:firstRowLastColumn="0" w:lastRowFirstColumn="0" w:lastRowLastColumn="0"/>
            <w:tcW w:w="2818" w:type="dxa"/>
            <w:tcBorders>
              <w:top w:val="single" w:sz="4" w:space="0" w:color="B4C6E7"/>
              <w:left w:val="single" w:sz="4" w:space="0" w:color="B4C6E7"/>
              <w:bottom w:val="single" w:sz="4" w:space="0" w:color="B4C6E7"/>
              <w:right w:val="single" w:sz="4" w:space="0" w:color="B4C6E7"/>
            </w:tcBorders>
            <w:hideMark/>
          </w:tcPr>
          <w:p w:rsidR="00147036" w:rsidRPr="00147036" w:rsidRDefault="00147036" w:rsidP="00147036">
            <w:pPr>
              <w:jc w:val="both"/>
              <w:outlineLvl w:val="6"/>
              <w:rPr>
                <w:rFonts w:ascii="Times New Roman" w:eastAsia="Times New Roman" w:hAnsi="Times New Roman"/>
              </w:rPr>
            </w:pPr>
            <w:r w:rsidRPr="00147036">
              <w:rPr>
                <w:rFonts w:ascii="Times New Roman" w:eastAsia="Times New Roman" w:hAnsi="Times New Roman"/>
              </w:rPr>
              <w:t>Venituri</w:t>
            </w:r>
          </w:p>
        </w:tc>
        <w:tc>
          <w:tcPr>
            <w:tcW w:w="1198" w:type="dxa"/>
            <w:tcBorders>
              <w:top w:val="single" w:sz="4" w:space="0" w:color="B4C6E7"/>
              <w:left w:val="single" w:sz="4" w:space="0" w:color="B4C6E7"/>
              <w:bottom w:val="single" w:sz="4" w:space="0" w:color="B4C6E7"/>
              <w:right w:val="single" w:sz="4" w:space="0" w:color="B4C6E7"/>
            </w:tcBorders>
            <w:hideMark/>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47036">
              <w:rPr>
                <w:rFonts w:ascii="Times New Roman" w:hAnsi="Times New Roman"/>
                <w:b/>
              </w:rPr>
              <w:t>4 229,7</w:t>
            </w:r>
          </w:p>
        </w:tc>
        <w:tc>
          <w:tcPr>
            <w:tcW w:w="1186" w:type="dxa"/>
            <w:tcBorders>
              <w:top w:val="single" w:sz="4" w:space="0" w:color="B4C6E7"/>
              <w:left w:val="single" w:sz="4" w:space="0" w:color="B4C6E7"/>
              <w:bottom w:val="single" w:sz="4" w:space="0" w:color="B4C6E7"/>
              <w:right w:val="single" w:sz="4" w:space="0" w:color="B4C6E7"/>
            </w:tcBorders>
            <w:hideMark/>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147036">
              <w:rPr>
                <w:rFonts w:ascii="Times New Roman" w:hAnsi="Times New Roman"/>
              </w:rPr>
              <w:t>2 531,2</w:t>
            </w:r>
          </w:p>
        </w:tc>
        <w:tc>
          <w:tcPr>
            <w:tcW w:w="1195" w:type="dxa"/>
            <w:tcBorders>
              <w:top w:val="single" w:sz="4" w:space="0" w:color="B4C6E7"/>
              <w:left w:val="single" w:sz="4" w:space="0" w:color="B4C6E7"/>
              <w:bottom w:val="single" w:sz="4" w:space="0" w:color="B4C6E7"/>
              <w:right w:val="single" w:sz="4" w:space="0" w:color="B4C6E7"/>
            </w:tcBorders>
            <w:hideMark/>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147036">
              <w:rPr>
                <w:rFonts w:ascii="Times New Roman" w:hAnsi="Times New Roman"/>
              </w:rPr>
              <w:t>966,4</w:t>
            </w:r>
          </w:p>
        </w:tc>
        <w:tc>
          <w:tcPr>
            <w:tcW w:w="1390" w:type="dxa"/>
            <w:tcBorders>
              <w:top w:val="single" w:sz="4" w:space="0" w:color="B4C6E7"/>
              <w:left w:val="single" w:sz="4" w:space="0" w:color="B4C6E7"/>
              <w:bottom w:val="single" w:sz="4" w:space="0" w:color="B4C6E7"/>
              <w:right w:val="single" w:sz="4" w:space="0" w:color="B4C6E7"/>
            </w:tcBorders>
            <w:hideMark/>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147036">
              <w:rPr>
                <w:rFonts w:ascii="Times New Roman" w:hAnsi="Times New Roman"/>
              </w:rPr>
              <w:t>1 997,2</w:t>
            </w:r>
          </w:p>
        </w:tc>
        <w:tc>
          <w:tcPr>
            <w:tcW w:w="1390" w:type="dxa"/>
            <w:tcBorders>
              <w:top w:val="single" w:sz="4" w:space="0" w:color="B4C6E7"/>
              <w:left w:val="single" w:sz="4" w:space="0" w:color="B4C6E7"/>
              <w:bottom w:val="single" w:sz="4" w:space="0" w:color="B4C6E7"/>
              <w:right w:val="single" w:sz="4" w:space="0" w:color="B4C6E7"/>
            </w:tcBorders>
            <w:hideMark/>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147036">
              <w:rPr>
                <w:rFonts w:ascii="Times New Roman" w:hAnsi="Times New Roman"/>
              </w:rPr>
              <w:t>615,2</w:t>
            </w:r>
          </w:p>
        </w:tc>
      </w:tr>
      <w:tr w:rsidR="00147036" w:rsidRPr="00147036" w:rsidTr="005F6215">
        <w:trPr>
          <w:jc w:val="center"/>
        </w:trPr>
        <w:tc>
          <w:tcPr>
            <w:cnfStyle w:val="001000000000" w:firstRow="0" w:lastRow="0" w:firstColumn="1" w:lastColumn="0" w:oddVBand="0" w:evenVBand="0" w:oddHBand="0" w:evenHBand="0" w:firstRowFirstColumn="0" w:firstRowLastColumn="0" w:lastRowFirstColumn="0" w:lastRowLastColumn="0"/>
            <w:tcW w:w="2818" w:type="dxa"/>
            <w:tcBorders>
              <w:top w:val="single" w:sz="4" w:space="0" w:color="B4C6E7"/>
              <w:left w:val="single" w:sz="4" w:space="0" w:color="B4C6E7"/>
              <w:bottom w:val="single" w:sz="4" w:space="0" w:color="B4C6E7"/>
              <w:right w:val="single" w:sz="4" w:space="0" w:color="B4C6E7"/>
            </w:tcBorders>
            <w:hideMark/>
          </w:tcPr>
          <w:p w:rsidR="00147036" w:rsidRPr="00147036" w:rsidRDefault="00147036" w:rsidP="00147036">
            <w:pPr>
              <w:jc w:val="both"/>
              <w:outlineLvl w:val="6"/>
              <w:rPr>
                <w:rFonts w:ascii="Times New Roman" w:eastAsia="Times New Roman" w:hAnsi="Times New Roman"/>
              </w:rPr>
            </w:pPr>
            <w:r w:rsidRPr="00147036">
              <w:rPr>
                <w:rFonts w:ascii="Times New Roman" w:eastAsia="Times New Roman" w:hAnsi="Times New Roman"/>
              </w:rPr>
              <w:t xml:space="preserve">  din care </w:t>
            </w:r>
            <w:r w:rsidRPr="00147036">
              <w:rPr>
                <w:rFonts w:ascii="Times New Roman" w:eastAsia="Times New Roman" w:hAnsi="Times New Roman"/>
                <w:i/>
              </w:rPr>
              <w:t>transferuri primite</w:t>
            </w:r>
          </w:p>
        </w:tc>
        <w:tc>
          <w:tcPr>
            <w:tcW w:w="1198" w:type="dxa"/>
            <w:tcBorders>
              <w:top w:val="single" w:sz="4" w:space="0" w:color="B4C6E7"/>
              <w:left w:val="single" w:sz="4" w:space="0" w:color="B4C6E7"/>
              <w:bottom w:val="single" w:sz="4" w:space="0" w:color="B4C6E7"/>
              <w:right w:val="single" w:sz="4" w:space="0" w:color="B4C6E7"/>
            </w:tcBorders>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1186" w:type="dxa"/>
            <w:tcBorders>
              <w:top w:val="single" w:sz="4" w:space="0" w:color="B4C6E7"/>
              <w:left w:val="single" w:sz="4" w:space="0" w:color="B4C6E7"/>
              <w:bottom w:val="single" w:sz="4" w:space="0" w:color="B4C6E7"/>
              <w:right w:val="single" w:sz="4" w:space="0" w:color="B4C6E7"/>
            </w:tcBorders>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1195" w:type="dxa"/>
            <w:tcBorders>
              <w:top w:val="single" w:sz="4" w:space="0" w:color="B4C6E7"/>
              <w:left w:val="single" w:sz="4" w:space="0" w:color="B4C6E7"/>
              <w:bottom w:val="single" w:sz="4" w:space="0" w:color="B4C6E7"/>
              <w:right w:val="single" w:sz="4" w:space="0" w:color="B4C6E7"/>
            </w:tcBorders>
            <w:hideMark/>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rPr>
            </w:pPr>
            <w:r w:rsidRPr="00147036">
              <w:rPr>
                <w:rFonts w:ascii="Times New Roman" w:hAnsi="Times New Roman"/>
                <w:i/>
              </w:rPr>
              <w:t>639,4</w:t>
            </w:r>
          </w:p>
        </w:tc>
        <w:tc>
          <w:tcPr>
            <w:tcW w:w="1390" w:type="dxa"/>
            <w:tcBorders>
              <w:top w:val="single" w:sz="4" w:space="0" w:color="B4C6E7"/>
              <w:left w:val="single" w:sz="4" w:space="0" w:color="B4C6E7"/>
              <w:bottom w:val="single" w:sz="4" w:space="0" w:color="B4C6E7"/>
              <w:right w:val="single" w:sz="4" w:space="0" w:color="B4C6E7"/>
            </w:tcBorders>
            <w:hideMark/>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rPr>
            </w:pPr>
            <w:r w:rsidRPr="00147036">
              <w:rPr>
                <w:rFonts w:ascii="Times New Roman" w:eastAsia="Times New Roman" w:hAnsi="Times New Roman"/>
                <w:i/>
              </w:rPr>
              <w:t>1 004,4</w:t>
            </w:r>
          </w:p>
        </w:tc>
        <w:tc>
          <w:tcPr>
            <w:tcW w:w="1390" w:type="dxa"/>
            <w:tcBorders>
              <w:top w:val="single" w:sz="4" w:space="0" w:color="B4C6E7"/>
              <w:left w:val="single" w:sz="4" w:space="0" w:color="B4C6E7"/>
              <w:bottom w:val="single" w:sz="4" w:space="0" w:color="B4C6E7"/>
              <w:right w:val="single" w:sz="4" w:space="0" w:color="B4C6E7"/>
            </w:tcBorders>
            <w:hideMark/>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rPr>
            </w:pPr>
            <w:r w:rsidRPr="00147036">
              <w:rPr>
                <w:rFonts w:ascii="Times New Roman" w:hAnsi="Times New Roman"/>
                <w:i/>
              </w:rPr>
              <w:t>235,9</w:t>
            </w:r>
          </w:p>
        </w:tc>
      </w:tr>
      <w:tr w:rsidR="00147036" w:rsidRPr="00147036" w:rsidTr="005F6215">
        <w:trPr>
          <w:jc w:val="center"/>
        </w:trPr>
        <w:tc>
          <w:tcPr>
            <w:cnfStyle w:val="001000000000" w:firstRow="0" w:lastRow="0" w:firstColumn="1" w:lastColumn="0" w:oddVBand="0" w:evenVBand="0" w:oddHBand="0" w:evenHBand="0" w:firstRowFirstColumn="0" w:firstRowLastColumn="0" w:lastRowFirstColumn="0" w:lastRowLastColumn="0"/>
            <w:tcW w:w="2818" w:type="dxa"/>
            <w:tcBorders>
              <w:top w:val="single" w:sz="4" w:space="0" w:color="B4C6E7"/>
              <w:left w:val="single" w:sz="4" w:space="0" w:color="B4C6E7"/>
              <w:bottom w:val="single" w:sz="4" w:space="0" w:color="B4C6E7"/>
              <w:right w:val="single" w:sz="4" w:space="0" w:color="B4C6E7"/>
            </w:tcBorders>
            <w:hideMark/>
          </w:tcPr>
          <w:p w:rsidR="00147036" w:rsidRPr="00147036" w:rsidRDefault="00147036" w:rsidP="00147036">
            <w:pPr>
              <w:jc w:val="both"/>
              <w:outlineLvl w:val="6"/>
              <w:rPr>
                <w:rFonts w:ascii="Times New Roman" w:eastAsia="Times New Roman" w:hAnsi="Times New Roman"/>
              </w:rPr>
            </w:pPr>
            <w:r w:rsidRPr="00147036">
              <w:rPr>
                <w:rFonts w:ascii="Times New Roman" w:eastAsia="Times New Roman" w:hAnsi="Times New Roman"/>
              </w:rPr>
              <w:t>Cheltuieli</w:t>
            </w:r>
          </w:p>
        </w:tc>
        <w:tc>
          <w:tcPr>
            <w:tcW w:w="1198" w:type="dxa"/>
            <w:tcBorders>
              <w:top w:val="single" w:sz="4" w:space="0" w:color="B4C6E7"/>
              <w:left w:val="single" w:sz="4" w:space="0" w:color="B4C6E7"/>
              <w:bottom w:val="single" w:sz="4" w:space="0" w:color="B4C6E7"/>
              <w:right w:val="single" w:sz="4" w:space="0" w:color="B4C6E7"/>
            </w:tcBorders>
            <w:hideMark/>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rPr>
            </w:pPr>
            <w:r w:rsidRPr="00147036">
              <w:rPr>
                <w:rFonts w:ascii="Times New Roman" w:hAnsi="Times New Roman"/>
                <w:b/>
              </w:rPr>
              <w:t>4 140,4</w:t>
            </w:r>
          </w:p>
        </w:tc>
        <w:tc>
          <w:tcPr>
            <w:tcW w:w="1186" w:type="dxa"/>
            <w:tcBorders>
              <w:top w:val="single" w:sz="4" w:space="0" w:color="B4C6E7"/>
              <w:left w:val="single" w:sz="4" w:space="0" w:color="B4C6E7"/>
              <w:bottom w:val="single" w:sz="4" w:space="0" w:color="B4C6E7"/>
              <w:right w:val="single" w:sz="4" w:space="0" w:color="B4C6E7"/>
            </w:tcBorders>
            <w:hideMark/>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147036">
              <w:rPr>
                <w:rFonts w:ascii="Times New Roman" w:hAnsi="Times New Roman"/>
              </w:rPr>
              <w:t>2 883,9</w:t>
            </w:r>
          </w:p>
        </w:tc>
        <w:tc>
          <w:tcPr>
            <w:tcW w:w="1195" w:type="dxa"/>
            <w:tcBorders>
              <w:top w:val="single" w:sz="4" w:space="0" w:color="B4C6E7"/>
              <w:left w:val="single" w:sz="4" w:space="0" w:color="B4C6E7"/>
              <w:bottom w:val="single" w:sz="4" w:space="0" w:color="B4C6E7"/>
              <w:right w:val="single" w:sz="4" w:space="0" w:color="B4C6E7"/>
            </w:tcBorders>
            <w:hideMark/>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147036">
              <w:rPr>
                <w:rFonts w:ascii="Times New Roman" w:hAnsi="Times New Roman"/>
              </w:rPr>
              <w:t>953,4</w:t>
            </w:r>
          </w:p>
        </w:tc>
        <w:tc>
          <w:tcPr>
            <w:tcW w:w="1390" w:type="dxa"/>
            <w:tcBorders>
              <w:top w:val="single" w:sz="4" w:space="0" w:color="B4C6E7"/>
              <w:left w:val="single" w:sz="4" w:space="0" w:color="B4C6E7"/>
              <w:bottom w:val="single" w:sz="4" w:space="0" w:color="B4C6E7"/>
              <w:right w:val="single" w:sz="4" w:space="0" w:color="B4C6E7"/>
            </w:tcBorders>
            <w:hideMark/>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147036">
              <w:rPr>
                <w:rFonts w:ascii="Times New Roman" w:hAnsi="Times New Roman"/>
              </w:rPr>
              <w:t>1 766,4</w:t>
            </w:r>
          </w:p>
        </w:tc>
        <w:tc>
          <w:tcPr>
            <w:tcW w:w="1390" w:type="dxa"/>
            <w:tcBorders>
              <w:top w:val="single" w:sz="4" w:space="0" w:color="B4C6E7"/>
              <w:left w:val="single" w:sz="4" w:space="0" w:color="B4C6E7"/>
              <w:bottom w:val="single" w:sz="4" w:space="0" w:color="B4C6E7"/>
              <w:right w:val="single" w:sz="4" w:space="0" w:color="B4C6E7"/>
            </w:tcBorders>
            <w:hideMark/>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147036">
              <w:rPr>
                <w:rFonts w:ascii="Times New Roman" w:hAnsi="Times New Roman"/>
              </w:rPr>
              <w:t>417</w:t>
            </w:r>
          </w:p>
        </w:tc>
      </w:tr>
      <w:tr w:rsidR="00147036" w:rsidRPr="00147036" w:rsidTr="005F6215">
        <w:trPr>
          <w:jc w:val="center"/>
        </w:trPr>
        <w:tc>
          <w:tcPr>
            <w:cnfStyle w:val="001000000000" w:firstRow="0" w:lastRow="0" w:firstColumn="1" w:lastColumn="0" w:oddVBand="0" w:evenVBand="0" w:oddHBand="0" w:evenHBand="0" w:firstRowFirstColumn="0" w:firstRowLastColumn="0" w:lastRowFirstColumn="0" w:lastRowLastColumn="0"/>
            <w:tcW w:w="2818" w:type="dxa"/>
            <w:tcBorders>
              <w:top w:val="single" w:sz="4" w:space="0" w:color="B4C6E7"/>
              <w:left w:val="single" w:sz="4" w:space="0" w:color="B4C6E7"/>
              <w:bottom w:val="single" w:sz="4" w:space="0" w:color="B4C6E7"/>
              <w:right w:val="single" w:sz="4" w:space="0" w:color="B4C6E7"/>
            </w:tcBorders>
            <w:hideMark/>
          </w:tcPr>
          <w:p w:rsidR="00147036" w:rsidRPr="00147036" w:rsidRDefault="00147036" w:rsidP="00147036">
            <w:pPr>
              <w:outlineLvl w:val="6"/>
              <w:rPr>
                <w:rFonts w:ascii="Times New Roman" w:eastAsia="Times New Roman" w:hAnsi="Times New Roman"/>
              </w:rPr>
            </w:pPr>
            <w:r w:rsidRPr="00147036">
              <w:rPr>
                <w:rFonts w:ascii="Times New Roman" w:eastAsia="Times New Roman" w:hAnsi="Times New Roman"/>
              </w:rPr>
              <w:t xml:space="preserve">  din care </w:t>
            </w:r>
            <w:r w:rsidRPr="00147036">
              <w:rPr>
                <w:rFonts w:ascii="Times New Roman" w:eastAsia="Times New Roman" w:hAnsi="Times New Roman"/>
                <w:i/>
              </w:rPr>
              <w:t>transferuri acordate</w:t>
            </w:r>
          </w:p>
        </w:tc>
        <w:tc>
          <w:tcPr>
            <w:tcW w:w="1198" w:type="dxa"/>
            <w:tcBorders>
              <w:top w:val="single" w:sz="4" w:space="0" w:color="B4C6E7"/>
              <w:left w:val="single" w:sz="4" w:space="0" w:color="B4C6E7"/>
              <w:bottom w:val="single" w:sz="4" w:space="0" w:color="B4C6E7"/>
              <w:right w:val="single" w:sz="4" w:space="0" w:color="B4C6E7"/>
            </w:tcBorders>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1186" w:type="dxa"/>
            <w:tcBorders>
              <w:top w:val="single" w:sz="4" w:space="0" w:color="B4C6E7"/>
              <w:left w:val="single" w:sz="4" w:space="0" w:color="B4C6E7"/>
              <w:bottom w:val="single" w:sz="4" w:space="0" w:color="B4C6E7"/>
              <w:right w:val="single" w:sz="4" w:space="0" w:color="B4C6E7"/>
            </w:tcBorders>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rPr>
            </w:pPr>
          </w:p>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rPr>
            </w:pPr>
            <w:r w:rsidRPr="00147036">
              <w:rPr>
                <w:rFonts w:ascii="Times New Roman" w:hAnsi="Times New Roman"/>
                <w:i/>
              </w:rPr>
              <w:t>1 879,7</w:t>
            </w:r>
          </w:p>
        </w:tc>
        <w:tc>
          <w:tcPr>
            <w:tcW w:w="1195" w:type="dxa"/>
            <w:tcBorders>
              <w:top w:val="single" w:sz="4" w:space="0" w:color="B4C6E7"/>
              <w:left w:val="single" w:sz="4" w:space="0" w:color="B4C6E7"/>
              <w:bottom w:val="single" w:sz="4" w:space="0" w:color="B4C6E7"/>
              <w:right w:val="single" w:sz="4" w:space="0" w:color="B4C6E7"/>
            </w:tcBorders>
          </w:tcPr>
          <w:p w:rsidR="00147036" w:rsidRPr="00147036" w:rsidRDefault="00147036" w:rsidP="00147036">
            <w:pPr>
              <w:jc w:val="both"/>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p>
        </w:tc>
        <w:tc>
          <w:tcPr>
            <w:tcW w:w="1390" w:type="dxa"/>
            <w:tcBorders>
              <w:top w:val="single" w:sz="4" w:space="0" w:color="B4C6E7"/>
              <w:left w:val="single" w:sz="4" w:space="0" w:color="B4C6E7"/>
              <w:bottom w:val="single" w:sz="4" w:space="0" w:color="B4C6E7"/>
              <w:right w:val="single" w:sz="4" w:space="0" w:color="B4C6E7"/>
            </w:tcBorders>
          </w:tcPr>
          <w:p w:rsidR="00147036" w:rsidRPr="00147036" w:rsidRDefault="00147036" w:rsidP="00147036">
            <w:pPr>
              <w:jc w:val="both"/>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u w:val="single"/>
              </w:rPr>
            </w:pPr>
          </w:p>
        </w:tc>
        <w:tc>
          <w:tcPr>
            <w:tcW w:w="1390" w:type="dxa"/>
            <w:tcBorders>
              <w:top w:val="single" w:sz="4" w:space="0" w:color="B4C6E7"/>
              <w:left w:val="single" w:sz="4" w:space="0" w:color="B4C6E7"/>
              <w:bottom w:val="single" w:sz="4" w:space="0" w:color="B4C6E7"/>
              <w:right w:val="single" w:sz="4" w:space="0" w:color="B4C6E7"/>
            </w:tcBorders>
          </w:tcPr>
          <w:p w:rsidR="00147036" w:rsidRPr="00147036" w:rsidRDefault="00147036" w:rsidP="00147036">
            <w:pPr>
              <w:jc w:val="both"/>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u w:val="single"/>
              </w:rPr>
            </w:pPr>
          </w:p>
        </w:tc>
      </w:tr>
      <w:tr w:rsidR="00147036" w:rsidRPr="00147036" w:rsidTr="005F6215">
        <w:trPr>
          <w:jc w:val="center"/>
        </w:trPr>
        <w:tc>
          <w:tcPr>
            <w:cnfStyle w:val="001000000000" w:firstRow="0" w:lastRow="0" w:firstColumn="1" w:lastColumn="0" w:oddVBand="0" w:evenVBand="0" w:oddHBand="0" w:evenHBand="0" w:firstRowFirstColumn="0" w:firstRowLastColumn="0" w:lastRowFirstColumn="0" w:lastRowLastColumn="0"/>
            <w:tcW w:w="2818" w:type="dxa"/>
            <w:tcBorders>
              <w:top w:val="single" w:sz="4" w:space="0" w:color="B4C6E7"/>
              <w:left w:val="single" w:sz="4" w:space="0" w:color="B4C6E7"/>
              <w:bottom w:val="single" w:sz="4" w:space="0" w:color="B4C6E7"/>
              <w:right w:val="single" w:sz="4" w:space="0" w:color="B4C6E7"/>
            </w:tcBorders>
            <w:hideMark/>
          </w:tcPr>
          <w:p w:rsidR="00147036" w:rsidRPr="00147036" w:rsidRDefault="00147036" w:rsidP="00147036">
            <w:pPr>
              <w:jc w:val="both"/>
              <w:outlineLvl w:val="6"/>
              <w:rPr>
                <w:rFonts w:ascii="Times New Roman" w:eastAsia="Times New Roman" w:hAnsi="Times New Roman"/>
              </w:rPr>
            </w:pPr>
            <w:r w:rsidRPr="00147036">
              <w:rPr>
                <w:rFonts w:ascii="Times New Roman" w:eastAsia="Times New Roman" w:hAnsi="Times New Roman"/>
              </w:rPr>
              <w:t>Deficit (-)/Excedent(+)</w:t>
            </w:r>
          </w:p>
        </w:tc>
        <w:tc>
          <w:tcPr>
            <w:tcW w:w="1198" w:type="dxa"/>
            <w:tcBorders>
              <w:top w:val="single" w:sz="4" w:space="0" w:color="B4C6E7"/>
              <w:left w:val="single" w:sz="4" w:space="0" w:color="B4C6E7"/>
              <w:bottom w:val="single" w:sz="4" w:space="0" w:color="B4C6E7"/>
              <w:right w:val="single" w:sz="4" w:space="0" w:color="B4C6E7"/>
            </w:tcBorders>
            <w:hideMark/>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rPr>
            </w:pPr>
            <w:r w:rsidRPr="00147036">
              <w:rPr>
                <w:rFonts w:ascii="Times New Roman" w:hAnsi="Times New Roman"/>
                <w:b/>
              </w:rPr>
              <w:t>89,3</w:t>
            </w:r>
          </w:p>
        </w:tc>
        <w:tc>
          <w:tcPr>
            <w:tcW w:w="1186" w:type="dxa"/>
            <w:tcBorders>
              <w:top w:val="single" w:sz="4" w:space="0" w:color="B4C6E7"/>
              <w:left w:val="single" w:sz="4" w:space="0" w:color="B4C6E7"/>
              <w:bottom w:val="single" w:sz="4" w:space="0" w:color="B4C6E7"/>
              <w:right w:val="single" w:sz="4" w:space="0" w:color="B4C6E7"/>
            </w:tcBorders>
            <w:hideMark/>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147036">
              <w:rPr>
                <w:rFonts w:ascii="Times New Roman" w:hAnsi="Times New Roman"/>
              </w:rPr>
              <w:t>-352,7</w:t>
            </w:r>
          </w:p>
        </w:tc>
        <w:tc>
          <w:tcPr>
            <w:tcW w:w="1195" w:type="dxa"/>
            <w:tcBorders>
              <w:top w:val="single" w:sz="4" w:space="0" w:color="B4C6E7"/>
              <w:left w:val="single" w:sz="4" w:space="0" w:color="B4C6E7"/>
              <w:bottom w:val="single" w:sz="4" w:space="0" w:color="B4C6E7"/>
              <w:right w:val="single" w:sz="4" w:space="0" w:color="B4C6E7"/>
            </w:tcBorders>
            <w:hideMark/>
          </w:tcPr>
          <w:p w:rsidR="00147036" w:rsidRPr="00147036" w:rsidRDefault="00147036" w:rsidP="00CC012B">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147036">
              <w:rPr>
                <w:rFonts w:ascii="Times New Roman" w:hAnsi="Times New Roman"/>
              </w:rPr>
              <w:t>13,</w:t>
            </w:r>
            <w:r w:rsidR="00CC012B">
              <w:rPr>
                <w:rFonts w:ascii="Times New Roman" w:hAnsi="Times New Roman"/>
              </w:rPr>
              <w:t>0</w:t>
            </w:r>
          </w:p>
        </w:tc>
        <w:tc>
          <w:tcPr>
            <w:tcW w:w="1390" w:type="dxa"/>
            <w:tcBorders>
              <w:top w:val="single" w:sz="4" w:space="0" w:color="B4C6E7"/>
              <w:left w:val="single" w:sz="4" w:space="0" w:color="B4C6E7"/>
              <w:bottom w:val="single" w:sz="4" w:space="0" w:color="B4C6E7"/>
              <w:right w:val="single" w:sz="4" w:space="0" w:color="B4C6E7"/>
            </w:tcBorders>
            <w:hideMark/>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147036">
              <w:rPr>
                <w:rFonts w:ascii="Times New Roman" w:hAnsi="Times New Roman"/>
              </w:rPr>
              <w:t>230,8</w:t>
            </w:r>
          </w:p>
        </w:tc>
        <w:tc>
          <w:tcPr>
            <w:tcW w:w="1390" w:type="dxa"/>
            <w:tcBorders>
              <w:top w:val="single" w:sz="4" w:space="0" w:color="B4C6E7"/>
              <w:left w:val="single" w:sz="4" w:space="0" w:color="B4C6E7"/>
              <w:bottom w:val="single" w:sz="4" w:space="0" w:color="B4C6E7"/>
              <w:right w:val="single" w:sz="4" w:space="0" w:color="B4C6E7"/>
            </w:tcBorders>
            <w:hideMark/>
          </w:tcPr>
          <w:p w:rsidR="00147036" w:rsidRPr="00147036" w:rsidRDefault="00147036" w:rsidP="00147036">
            <w:pPr>
              <w:jc w:val="center"/>
              <w:outlineLvl w:val="6"/>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147036">
              <w:rPr>
                <w:rFonts w:ascii="Times New Roman" w:hAnsi="Times New Roman"/>
              </w:rPr>
              <w:t>198,2</w:t>
            </w:r>
          </w:p>
        </w:tc>
      </w:tr>
    </w:tbl>
    <w:p w:rsidR="00147036" w:rsidRPr="00147036" w:rsidRDefault="00147036" w:rsidP="00147036">
      <w:pPr>
        <w:jc w:val="both"/>
        <w:outlineLvl w:val="6"/>
        <w:rPr>
          <w:i/>
        </w:rPr>
      </w:pPr>
      <w:r w:rsidRPr="00147036">
        <w:rPr>
          <w:i/>
        </w:rPr>
        <w:t xml:space="preserve">    Sursă: Ministerul Finanțelor</w:t>
      </w:r>
    </w:p>
    <w:p w:rsidR="00147036" w:rsidRPr="00147036" w:rsidRDefault="00147036" w:rsidP="00147036">
      <w:pPr>
        <w:jc w:val="center"/>
        <w:rPr>
          <w:b/>
          <w:bCs/>
          <w:i/>
          <w:iCs/>
          <w:sz w:val="24"/>
          <w:szCs w:val="24"/>
          <w:u w:val="single"/>
        </w:rPr>
      </w:pPr>
    </w:p>
    <w:p w:rsidR="00147036" w:rsidRPr="00147036" w:rsidRDefault="00147036" w:rsidP="00147036">
      <w:pPr>
        <w:jc w:val="both"/>
        <w:rPr>
          <w:sz w:val="24"/>
          <w:szCs w:val="24"/>
          <w:u w:val="single"/>
        </w:rPr>
      </w:pPr>
    </w:p>
    <w:p w:rsidR="00147036" w:rsidRPr="00147036" w:rsidRDefault="00147036" w:rsidP="00147036">
      <w:pPr>
        <w:jc w:val="both"/>
        <w:outlineLvl w:val="6"/>
        <w:rPr>
          <w:sz w:val="24"/>
          <w:szCs w:val="24"/>
        </w:rPr>
      </w:pPr>
      <w:r w:rsidRPr="00147036">
        <w:rPr>
          <w:sz w:val="24"/>
          <w:szCs w:val="24"/>
        </w:rPr>
        <w:t xml:space="preserve">Cele mai multe acumulări de </w:t>
      </w:r>
      <w:r w:rsidRPr="00147036">
        <w:rPr>
          <w:b/>
          <w:i/>
          <w:sz w:val="24"/>
          <w:szCs w:val="24"/>
        </w:rPr>
        <w:t>venituri la BPN</w:t>
      </w:r>
      <w:r w:rsidRPr="00147036">
        <w:rPr>
          <w:sz w:val="24"/>
          <w:szCs w:val="24"/>
        </w:rPr>
        <w:t xml:space="preserve"> au fost înregistrate din contul </w:t>
      </w:r>
      <w:r w:rsidRPr="00147036">
        <w:rPr>
          <w:i/>
          <w:sz w:val="24"/>
          <w:szCs w:val="24"/>
        </w:rPr>
        <w:t>impozitelor și taxelor</w:t>
      </w:r>
      <w:r w:rsidRPr="00147036">
        <w:rPr>
          <w:sz w:val="24"/>
          <w:szCs w:val="24"/>
        </w:rPr>
        <w:t xml:space="preserve"> – 62% (2,6 </w:t>
      </w:r>
      <w:proofErr w:type="spellStart"/>
      <w:r w:rsidRPr="00147036">
        <w:rPr>
          <w:sz w:val="24"/>
          <w:szCs w:val="24"/>
        </w:rPr>
        <w:t>mild.lei</w:t>
      </w:r>
      <w:proofErr w:type="spellEnd"/>
      <w:r w:rsidRPr="00147036">
        <w:rPr>
          <w:sz w:val="24"/>
          <w:szCs w:val="24"/>
        </w:rPr>
        <w:t xml:space="preserve">), 32,1% (1,4 </w:t>
      </w:r>
      <w:proofErr w:type="spellStart"/>
      <w:r w:rsidRPr="00147036">
        <w:rPr>
          <w:sz w:val="24"/>
          <w:szCs w:val="24"/>
        </w:rPr>
        <w:t>mild.lei</w:t>
      </w:r>
      <w:proofErr w:type="spellEnd"/>
      <w:r w:rsidRPr="00147036">
        <w:rPr>
          <w:sz w:val="24"/>
          <w:szCs w:val="24"/>
        </w:rPr>
        <w:t xml:space="preserve">) - contribuțiilor și primelor de asigurări obligatorii, 5,1% (2,8 </w:t>
      </w:r>
      <w:proofErr w:type="spellStart"/>
      <w:r w:rsidRPr="00147036">
        <w:rPr>
          <w:sz w:val="24"/>
          <w:szCs w:val="24"/>
        </w:rPr>
        <w:t>mild.lei</w:t>
      </w:r>
      <w:proofErr w:type="spellEnd"/>
      <w:r w:rsidRPr="00147036">
        <w:rPr>
          <w:sz w:val="24"/>
          <w:szCs w:val="24"/>
        </w:rPr>
        <w:t xml:space="preserve">) - altor venituri (din proprietate, vânzarea mărfurilor și serviciilor, amenzi și sancțiuni, donații voluntare etc.) și 1,2% (50,1 mil.lei) - granturilor primite (de la guvernele altor state și din partea organizațiilor internaționale). </w:t>
      </w:r>
    </w:p>
    <w:p w:rsidR="00147036" w:rsidRPr="00147036" w:rsidRDefault="00147036" w:rsidP="00147036">
      <w:pPr>
        <w:jc w:val="both"/>
        <w:outlineLvl w:val="6"/>
        <w:rPr>
          <w:sz w:val="24"/>
          <w:szCs w:val="24"/>
          <w:u w:val="single"/>
        </w:rPr>
      </w:pPr>
    </w:p>
    <w:p w:rsidR="00147036" w:rsidRPr="00147036" w:rsidRDefault="00147036" w:rsidP="00147036">
      <w:pPr>
        <w:jc w:val="both"/>
        <w:outlineLvl w:val="6"/>
        <w:rPr>
          <w:sz w:val="24"/>
          <w:szCs w:val="24"/>
        </w:rPr>
      </w:pPr>
      <w:r w:rsidRPr="00147036">
        <w:rPr>
          <w:sz w:val="24"/>
          <w:szCs w:val="24"/>
        </w:rPr>
        <w:lastRenderedPageBreak/>
        <w:t xml:space="preserve">Acumulările veniturilor din contul impozitelor și taxelor au înregistrat o creștere de 5,9% față de cele din luna ianuarie 2018. Impozitele și taxele pe mărfuri şi servicii (din care încasările din TVA reprezintă 74,4%) constituie cea mai mare pondere (74,1%) în volumul total al impozitelor și taxelor, </w:t>
      </w:r>
      <w:proofErr w:type="spellStart"/>
      <w:r w:rsidRPr="00147036">
        <w:rPr>
          <w:sz w:val="24"/>
          <w:szCs w:val="24"/>
        </w:rPr>
        <w:t>confirmînd</w:t>
      </w:r>
      <w:proofErr w:type="spellEnd"/>
      <w:r w:rsidRPr="00147036">
        <w:rPr>
          <w:sz w:val="24"/>
          <w:szCs w:val="24"/>
        </w:rPr>
        <w:t xml:space="preserve"> faptul că economia noastră este bazată pe consum, apoi impozitele pe venit – 21,2% și impozitele pe proprietate – 0,5%. Față de ianuarie 2018, cel mai mult a crescut ponderea încasărilor din impozitele și taxele pe mărfuri şi servicii, ceea ce reflectă o administrare fiscală mai bună și, implicit, scoaterea din umbră a unei părți din activitatea economică.</w:t>
      </w:r>
    </w:p>
    <w:p w:rsidR="00147036" w:rsidRPr="00147036" w:rsidRDefault="00147036" w:rsidP="00147036">
      <w:pPr>
        <w:jc w:val="both"/>
        <w:outlineLvl w:val="6"/>
        <w:rPr>
          <w:sz w:val="24"/>
          <w:szCs w:val="24"/>
          <w:u w:val="single"/>
        </w:rPr>
      </w:pPr>
    </w:p>
    <w:p w:rsidR="00147036" w:rsidRPr="00147036" w:rsidRDefault="00147036" w:rsidP="00147036">
      <w:pPr>
        <w:shd w:val="clear" w:color="auto" w:fill="FFFFFF"/>
        <w:jc w:val="both"/>
        <w:textAlignment w:val="baseline"/>
        <w:rPr>
          <w:sz w:val="24"/>
          <w:szCs w:val="24"/>
          <w:lang w:val="en-US" w:eastAsia="en-US"/>
        </w:rPr>
      </w:pPr>
      <w:proofErr w:type="spellStart"/>
      <w:r w:rsidRPr="00147036">
        <w:rPr>
          <w:sz w:val="24"/>
          <w:szCs w:val="24"/>
          <w:lang w:val="en-US" w:eastAsia="en-US"/>
        </w:rPr>
        <w:t>Pentru</w:t>
      </w:r>
      <w:proofErr w:type="spellEnd"/>
      <w:r w:rsidRPr="00147036">
        <w:rPr>
          <w:sz w:val="24"/>
          <w:szCs w:val="24"/>
          <w:lang w:val="en-US" w:eastAsia="en-US"/>
        </w:rPr>
        <w:t xml:space="preserve"> a reduce </w:t>
      </w:r>
      <w:proofErr w:type="spellStart"/>
      <w:r w:rsidRPr="00147036">
        <w:rPr>
          <w:sz w:val="24"/>
          <w:szCs w:val="24"/>
          <w:lang w:val="en-US" w:eastAsia="en-US"/>
        </w:rPr>
        <w:t>fenomenul</w:t>
      </w:r>
      <w:proofErr w:type="spellEnd"/>
      <w:r w:rsidRPr="00147036">
        <w:rPr>
          <w:sz w:val="24"/>
          <w:szCs w:val="24"/>
          <w:lang w:val="en-US" w:eastAsia="en-US"/>
        </w:rPr>
        <w:t xml:space="preserve"> </w:t>
      </w:r>
      <w:proofErr w:type="spellStart"/>
      <w:r w:rsidRPr="00147036">
        <w:rPr>
          <w:sz w:val="24"/>
          <w:szCs w:val="24"/>
          <w:lang w:val="en-US" w:eastAsia="en-US"/>
        </w:rPr>
        <w:t>salariilor</w:t>
      </w:r>
      <w:proofErr w:type="spellEnd"/>
      <w:r w:rsidRPr="00147036">
        <w:rPr>
          <w:sz w:val="24"/>
          <w:szCs w:val="24"/>
          <w:lang w:val="en-US" w:eastAsia="en-US"/>
        </w:rPr>
        <w:t xml:space="preserve"> </w:t>
      </w:r>
      <w:proofErr w:type="spellStart"/>
      <w:r w:rsidRPr="00147036">
        <w:rPr>
          <w:sz w:val="24"/>
          <w:szCs w:val="24"/>
          <w:lang w:val="en-US" w:eastAsia="en-US"/>
        </w:rPr>
        <w:t>în</w:t>
      </w:r>
      <w:proofErr w:type="spellEnd"/>
      <w:r w:rsidRPr="00147036">
        <w:rPr>
          <w:sz w:val="24"/>
          <w:szCs w:val="24"/>
          <w:lang w:val="en-US" w:eastAsia="en-US"/>
        </w:rPr>
        <w:t xml:space="preserve"> </w:t>
      </w:r>
      <w:proofErr w:type="spellStart"/>
      <w:r w:rsidRPr="00147036">
        <w:rPr>
          <w:sz w:val="24"/>
          <w:szCs w:val="24"/>
          <w:lang w:val="en-US" w:eastAsia="en-US"/>
        </w:rPr>
        <w:t>plic</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în</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luna</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octombrie</w:t>
      </w:r>
      <w:proofErr w:type="spellEnd"/>
      <w:r w:rsidRPr="00147036">
        <w:rPr>
          <w:color w:val="000000"/>
          <w:sz w:val="24"/>
          <w:szCs w:val="24"/>
          <w:lang w:val="en-US" w:eastAsia="en-US"/>
        </w:rPr>
        <w:t xml:space="preserve"> 2018 a </w:t>
      </w:r>
      <w:proofErr w:type="spellStart"/>
      <w:r w:rsidRPr="00147036">
        <w:rPr>
          <w:color w:val="000000"/>
          <w:sz w:val="24"/>
          <w:szCs w:val="24"/>
          <w:lang w:val="en-US" w:eastAsia="en-US"/>
        </w:rPr>
        <w:t>intrat</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în</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vigoare</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prevederile</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reformei</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fiscale</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privind</w:t>
      </w:r>
      <w:proofErr w:type="spellEnd"/>
      <w:r w:rsidRPr="00147036">
        <w:rPr>
          <w:sz w:val="24"/>
          <w:szCs w:val="24"/>
          <w:lang w:val="en-US" w:eastAsia="en-US"/>
        </w:rPr>
        <w:t xml:space="preserve"> </w:t>
      </w:r>
      <w:proofErr w:type="spellStart"/>
      <w:r w:rsidRPr="00147036">
        <w:rPr>
          <w:sz w:val="24"/>
          <w:szCs w:val="24"/>
          <w:lang w:val="en-US" w:eastAsia="en-US"/>
        </w:rPr>
        <w:t>reducerea</w:t>
      </w:r>
      <w:proofErr w:type="spellEnd"/>
      <w:r w:rsidRPr="00147036">
        <w:rPr>
          <w:sz w:val="24"/>
          <w:szCs w:val="24"/>
          <w:lang w:val="en-US" w:eastAsia="en-US"/>
        </w:rPr>
        <w:t xml:space="preserve"> </w:t>
      </w:r>
      <w:proofErr w:type="spellStart"/>
      <w:r w:rsidRPr="00147036">
        <w:rPr>
          <w:sz w:val="24"/>
          <w:szCs w:val="24"/>
          <w:lang w:val="en-US" w:eastAsia="en-US"/>
        </w:rPr>
        <w:t>impozitului</w:t>
      </w:r>
      <w:proofErr w:type="spellEnd"/>
      <w:r w:rsidRPr="00147036">
        <w:rPr>
          <w:sz w:val="24"/>
          <w:szCs w:val="24"/>
          <w:lang w:val="en-US" w:eastAsia="en-US"/>
        </w:rPr>
        <w:t xml:space="preserve"> </w:t>
      </w:r>
      <w:proofErr w:type="spellStart"/>
      <w:r w:rsidRPr="00147036">
        <w:rPr>
          <w:sz w:val="24"/>
          <w:szCs w:val="24"/>
          <w:lang w:val="en-US" w:eastAsia="en-US"/>
        </w:rPr>
        <w:t>pe</w:t>
      </w:r>
      <w:proofErr w:type="spellEnd"/>
      <w:r w:rsidRPr="00147036">
        <w:rPr>
          <w:sz w:val="24"/>
          <w:szCs w:val="24"/>
          <w:lang w:val="en-US" w:eastAsia="en-US"/>
        </w:rPr>
        <w:t xml:space="preserve"> </w:t>
      </w:r>
      <w:proofErr w:type="spellStart"/>
      <w:r w:rsidRPr="00147036">
        <w:rPr>
          <w:sz w:val="24"/>
          <w:szCs w:val="24"/>
          <w:lang w:val="en-US" w:eastAsia="en-US"/>
        </w:rPr>
        <w:t>venit</w:t>
      </w:r>
      <w:proofErr w:type="spellEnd"/>
      <w:r w:rsidRPr="00147036">
        <w:rPr>
          <w:sz w:val="24"/>
          <w:szCs w:val="24"/>
          <w:lang w:val="en-US" w:eastAsia="en-US"/>
        </w:rPr>
        <w:t xml:space="preserve"> </w:t>
      </w:r>
      <w:proofErr w:type="spellStart"/>
      <w:r w:rsidRPr="00147036">
        <w:rPr>
          <w:sz w:val="24"/>
          <w:szCs w:val="24"/>
          <w:lang w:val="en-US" w:eastAsia="en-US"/>
        </w:rPr>
        <w:t>pentru</w:t>
      </w:r>
      <w:proofErr w:type="spellEnd"/>
      <w:r w:rsidRPr="00147036">
        <w:rPr>
          <w:sz w:val="24"/>
          <w:szCs w:val="24"/>
          <w:lang w:val="en-US" w:eastAsia="en-US"/>
        </w:rPr>
        <w:t xml:space="preserve"> </w:t>
      </w:r>
      <w:proofErr w:type="spellStart"/>
      <w:r w:rsidRPr="00147036">
        <w:rPr>
          <w:sz w:val="24"/>
          <w:szCs w:val="24"/>
          <w:lang w:val="en-US" w:eastAsia="en-US"/>
        </w:rPr>
        <w:t>persoanele</w:t>
      </w:r>
      <w:proofErr w:type="spellEnd"/>
      <w:r w:rsidRPr="00147036">
        <w:rPr>
          <w:sz w:val="24"/>
          <w:szCs w:val="24"/>
          <w:lang w:val="en-US" w:eastAsia="en-US"/>
        </w:rPr>
        <w:t xml:space="preserve"> </w:t>
      </w:r>
      <w:proofErr w:type="spellStart"/>
      <w:r w:rsidRPr="00147036">
        <w:rPr>
          <w:sz w:val="24"/>
          <w:szCs w:val="24"/>
          <w:lang w:val="en-US" w:eastAsia="en-US"/>
        </w:rPr>
        <w:t>fizice</w:t>
      </w:r>
      <w:proofErr w:type="spellEnd"/>
      <w:r w:rsidRPr="00147036">
        <w:rPr>
          <w:sz w:val="24"/>
          <w:szCs w:val="24"/>
          <w:lang w:val="en-US" w:eastAsia="en-US"/>
        </w:rPr>
        <w:t xml:space="preserve"> de la 18% la 12%, </w:t>
      </w:r>
      <w:proofErr w:type="spellStart"/>
      <w:r w:rsidRPr="00147036">
        <w:rPr>
          <w:sz w:val="24"/>
          <w:szCs w:val="24"/>
          <w:lang w:val="en-US" w:eastAsia="en-US"/>
        </w:rPr>
        <w:t>prin</w:t>
      </w:r>
      <w:proofErr w:type="spellEnd"/>
      <w:r w:rsidRPr="00147036">
        <w:rPr>
          <w:sz w:val="24"/>
          <w:szCs w:val="24"/>
          <w:lang w:val="en-US" w:eastAsia="en-US"/>
        </w:rPr>
        <w:t xml:space="preserve"> </w:t>
      </w:r>
      <w:proofErr w:type="spellStart"/>
      <w:r w:rsidRPr="00147036">
        <w:rPr>
          <w:sz w:val="24"/>
          <w:szCs w:val="24"/>
          <w:lang w:val="en-US" w:eastAsia="en-US"/>
        </w:rPr>
        <w:t>stabilirea</w:t>
      </w:r>
      <w:proofErr w:type="spellEnd"/>
      <w:r w:rsidRPr="00147036">
        <w:rPr>
          <w:sz w:val="24"/>
          <w:szCs w:val="24"/>
          <w:lang w:val="en-US" w:eastAsia="en-US"/>
        </w:rPr>
        <w:t xml:space="preserve"> </w:t>
      </w:r>
      <w:proofErr w:type="spellStart"/>
      <w:r w:rsidRPr="00147036">
        <w:rPr>
          <w:sz w:val="24"/>
          <w:szCs w:val="24"/>
          <w:lang w:val="en-US" w:eastAsia="en-US"/>
        </w:rPr>
        <w:t>unei</w:t>
      </w:r>
      <w:proofErr w:type="spellEnd"/>
      <w:r w:rsidRPr="00147036">
        <w:rPr>
          <w:sz w:val="24"/>
          <w:szCs w:val="24"/>
          <w:lang w:val="en-US" w:eastAsia="en-US"/>
        </w:rPr>
        <w:t xml:space="preserve"> cote </w:t>
      </w:r>
      <w:proofErr w:type="spellStart"/>
      <w:r w:rsidRPr="00147036">
        <w:rPr>
          <w:sz w:val="24"/>
          <w:szCs w:val="24"/>
          <w:lang w:val="en-US" w:eastAsia="en-US"/>
        </w:rPr>
        <w:t>unice</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Impactul</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reformei</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fiscale</w:t>
      </w:r>
      <w:proofErr w:type="spellEnd"/>
      <w:r w:rsidRPr="00147036">
        <w:rPr>
          <w:color w:val="000000"/>
          <w:sz w:val="24"/>
          <w:szCs w:val="24"/>
          <w:lang w:val="en-US" w:eastAsia="en-US"/>
        </w:rPr>
        <w:t xml:space="preserve"> se face </w:t>
      </w:r>
      <w:proofErr w:type="spellStart"/>
      <w:r w:rsidRPr="00147036">
        <w:rPr>
          <w:color w:val="000000"/>
          <w:sz w:val="24"/>
          <w:szCs w:val="24"/>
          <w:lang w:val="en-US" w:eastAsia="en-US"/>
        </w:rPr>
        <w:t>simțit</w:t>
      </w:r>
      <w:proofErr w:type="spellEnd"/>
      <w:r w:rsidRPr="00147036">
        <w:rPr>
          <w:color w:val="000000"/>
          <w:sz w:val="24"/>
          <w:szCs w:val="24"/>
          <w:lang w:val="en-US" w:eastAsia="en-US"/>
        </w:rPr>
        <w:t xml:space="preserve">: începînd cu </w:t>
      </w:r>
      <w:proofErr w:type="spellStart"/>
      <w:proofErr w:type="gramStart"/>
      <w:r w:rsidRPr="00147036">
        <w:rPr>
          <w:color w:val="000000"/>
          <w:sz w:val="24"/>
          <w:szCs w:val="24"/>
          <w:lang w:val="en-US" w:eastAsia="en-US"/>
        </w:rPr>
        <w:t>luna</w:t>
      </w:r>
      <w:proofErr w:type="spellEnd"/>
      <w:proofErr w:type="gramEnd"/>
      <w:r w:rsidRPr="00147036">
        <w:rPr>
          <w:color w:val="000000"/>
          <w:sz w:val="24"/>
          <w:szCs w:val="24"/>
          <w:lang w:val="en-US" w:eastAsia="en-US"/>
        </w:rPr>
        <w:t xml:space="preserve"> </w:t>
      </w:r>
      <w:proofErr w:type="spellStart"/>
      <w:r w:rsidRPr="00147036">
        <w:rPr>
          <w:color w:val="000000"/>
          <w:sz w:val="24"/>
          <w:szCs w:val="24"/>
          <w:lang w:val="en-US" w:eastAsia="en-US"/>
        </w:rPr>
        <w:t>octombrie</w:t>
      </w:r>
      <w:proofErr w:type="spellEnd"/>
      <w:r w:rsidRPr="00147036">
        <w:rPr>
          <w:color w:val="000000"/>
          <w:sz w:val="24"/>
          <w:szCs w:val="24"/>
          <w:lang w:val="en-US" w:eastAsia="en-US"/>
        </w:rPr>
        <w:t xml:space="preserve"> 2018 se </w:t>
      </w:r>
      <w:proofErr w:type="spellStart"/>
      <w:r w:rsidRPr="00147036">
        <w:rPr>
          <w:color w:val="000000"/>
          <w:sz w:val="24"/>
          <w:szCs w:val="24"/>
          <w:lang w:val="en-US" w:eastAsia="en-US"/>
        </w:rPr>
        <w:t>înregistrează</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încasări</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mai</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puține</w:t>
      </w:r>
      <w:proofErr w:type="spellEnd"/>
      <w:r w:rsidRPr="00147036">
        <w:rPr>
          <w:color w:val="000000"/>
          <w:sz w:val="24"/>
          <w:szCs w:val="24"/>
          <w:lang w:val="en-US" w:eastAsia="en-US"/>
        </w:rPr>
        <w:t xml:space="preserve"> din </w:t>
      </w:r>
      <w:proofErr w:type="spellStart"/>
      <w:r w:rsidRPr="00147036">
        <w:rPr>
          <w:color w:val="000000"/>
          <w:sz w:val="24"/>
          <w:szCs w:val="24"/>
          <w:lang w:val="en-US" w:eastAsia="en-US"/>
        </w:rPr>
        <w:t>contul</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impozitelor</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pe</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venitul</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persoanelor</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fizice</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pe</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salariu</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comparativ</w:t>
      </w:r>
      <w:proofErr w:type="spellEnd"/>
      <w:r w:rsidRPr="00147036">
        <w:rPr>
          <w:color w:val="000000"/>
          <w:sz w:val="24"/>
          <w:szCs w:val="24"/>
          <w:lang w:val="en-US" w:eastAsia="en-US"/>
        </w:rPr>
        <w:t xml:space="preserve"> cu </w:t>
      </w:r>
      <w:proofErr w:type="spellStart"/>
      <w:r w:rsidRPr="00147036">
        <w:rPr>
          <w:color w:val="000000"/>
          <w:sz w:val="24"/>
          <w:szCs w:val="24"/>
          <w:lang w:val="en-US" w:eastAsia="en-US"/>
        </w:rPr>
        <w:t>lunile</w:t>
      </w:r>
      <w:proofErr w:type="spellEnd"/>
      <w:r w:rsidRPr="00147036">
        <w:rPr>
          <w:color w:val="000000"/>
          <w:sz w:val="24"/>
          <w:szCs w:val="24"/>
          <w:lang w:val="en-US" w:eastAsia="en-US"/>
        </w:rPr>
        <w:t xml:space="preserve"> respective din </w:t>
      </w:r>
      <w:proofErr w:type="spellStart"/>
      <w:r w:rsidRPr="00147036">
        <w:rPr>
          <w:color w:val="000000"/>
          <w:sz w:val="24"/>
          <w:szCs w:val="24"/>
          <w:lang w:val="en-US" w:eastAsia="en-US"/>
        </w:rPr>
        <w:t>anul</w:t>
      </w:r>
      <w:proofErr w:type="spellEnd"/>
      <w:r w:rsidRPr="00147036">
        <w:rPr>
          <w:color w:val="000000"/>
          <w:sz w:val="24"/>
          <w:szCs w:val="24"/>
          <w:lang w:val="en-US" w:eastAsia="en-US"/>
        </w:rPr>
        <w:t xml:space="preserve"> precedent. </w:t>
      </w:r>
      <w:proofErr w:type="spellStart"/>
      <w:r w:rsidRPr="00147036">
        <w:rPr>
          <w:color w:val="000000"/>
          <w:sz w:val="24"/>
          <w:szCs w:val="24"/>
          <w:lang w:val="en-US" w:eastAsia="en-US"/>
        </w:rPr>
        <w:t>Considerăm</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că</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această</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diminuare</w:t>
      </w:r>
      <w:proofErr w:type="spellEnd"/>
      <w:r w:rsidRPr="00147036">
        <w:rPr>
          <w:color w:val="000000"/>
          <w:sz w:val="24"/>
          <w:szCs w:val="24"/>
          <w:lang w:val="en-US" w:eastAsia="en-US"/>
        </w:rPr>
        <w:t xml:space="preserve"> se </w:t>
      </w:r>
      <w:proofErr w:type="spellStart"/>
      <w:proofErr w:type="gramStart"/>
      <w:r w:rsidRPr="00147036">
        <w:rPr>
          <w:color w:val="000000"/>
          <w:sz w:val="24"/>
          <w:szCs w:val="24"/>
          <w:lang w:val="en-US" w:eastAsia="en-US"/>
        </w:rPr>
        <w:t>va</w:t>
      </w:r>
      <w:proofErr w:type="spellEnd"/>
      <w:proofErr w:type="gramEnd"/>
      <w:r w:rsidRPr="00147036">
        <w:rPr>
          <w:color w:val="000000"/>
          <w:sz w:val="24"/>
          <w:szCs w:val="24"/>
          <w:lang w:val="en-US" w:eastAsia="en-US"/>
        </w:rPr>
        <w:t xml:space="preserve"> </w:t>
      </w:r>
      <w:proofErr w:type="spellStart"/>
      <w:r w:rsidRPr="00147036">
        <w:rPr>
          <w:color w:val="000000"/>
          <w:sz w:val="24"/>
          <w:szCs w:val="24"/>
          <w:lang w:val="en-US" w:eastAsia="en-US"/>
        </w:rPr>
        <w:t>compensa</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treptat</w:t>
      </w:r>
      <w:proofErr w:type="spellEnd"/>
      <w:r w:rsidRPr="00147036">
        <w:rPr>
          <w:color w:val="000000"/>
          <w:sz w:val="24"/>
          <w:szCs w:val="24"/>
          <w:lang w:val="en-US" w:eastAsia="en-US"/>
        </w:rPr>
        <w:t xml:space="preserve"> cu </w:t>
      </w:r>
      <w:proofErr w:type="spellStart"/>
      <w:r w:rsidRPr="00147036">
        <w:rPr>
          <w:color w:val="000000"/>
          <w:sz w:val="24"/>
          <w:szCs w:val="24"/>
          <w:lang w:val="en-US" w:eastAsia="en-US"/>
        </w:rPr>
        <w:t>ieșirea</w:t>
      </w:r>
      <w:proofErr w:type="spellEnd"/>
      <w:r w:rsidRPr="00147036">
        <w:rPr>
          <w:color w:val="000000"/>
          <w:sz w:val="24"/>
          <w:szCs w:val="24"/>
          <w:lang w:val="en-US" w:eastAsia="en-US"/>
        </w:rPr>
        <w:t xml:space="preserve"> din </w:t>
      </w:r>
      <w:proofErr w:type="spellStart"/>
      <w:r w:rsidRPr="00147036">
        <w:rPr>
          <w:color w:val="000000"/>
          <w:sz w:val="24"/>
          <w:szCs w:val="24"/>
          <w:lang w:val="en-US" w:eastAsia="en-US"/>
        </w:rPr>
        <w:t>umbră</w:t>
      </w:r>
      <w:proofErr w:type="spellEnd"/>
      <w:r w:rsidRPr="00147036">
        <w:rPr>
          <w:color w:val="000000"/>
          <w:sz w:val="24"/>
          <w:szCs w:val="24"/>
          <w:lang w:val="en-US" w:eastAsia="en-US"/>
        </w:rPr>
        <w:t xml:space="preserve"> a </w:t>
      </w:r>
      <w:proofErr w:type="spellStart"/>
      <w:r w:rsidRPr="00147036">
        <w:rPr>
          <w:color w:val="000000"/>
          <w:sz w:val="24"/>
          <w:szCs w:val="24"/>
          <w:lang w:val="en-US" w:eastAsia="en-US"/>
        </w:rPr>
        <w:t>salariilor</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acesta</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fiind</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și</w:t>
      </w:r>
      <w:proofErr w:type="spellEnd"/>
      <w:r w:rsidRPr="00147036">
        <w:rPr>
          <w:color w:val="000000"/>
          <w:sz w:val="24"/>
          <w:szCs w:val="24"/>
          <w:lang w:val="en-US" w:eastAsia="en-US"/>
        </w:rPr>
        <w:t xml:space="preserve"> </w:t>
      </w:r>
      <w:proofErr w:type="spellStart"/>
      <w:r w:rsidRPr="00147036">
        <w:rPr>
          <w:color w:val="000000"/>
          <w:sz w:val="24"/>
          <w:szCs w:val="24"/>
          <w:lang w:val="en-US" w:eastAsia="en-US"/>
        </w:rPr>
        <w:t>scopul</w:t>
      </w:r>
      <w:proofErr w:type="spellEnd"/>
      <w:r w:rsidRPr="00147036">
        <w:rPr>
          <w:color w:val="000000"/>
          <w:sz w:val="24"/>
          <w:szCs w:val="24"/>
          <w:lang w:val="en-US" w:eastAsia="en-US"/>
        </w:rPr>
        <w:t xml:space="preserve"> primordial al </w:t>
      </w:r>
      <w:proofErr w:type="spellStart"/>
      <w:r w:rsidRPr="00147036">
        <w:rPr>
          <w:color w:val="000000"/>
          <w:sz w:val="24"/>
          <w:szCs w:val="24"/>
          <w:lang w:val="en-US" w:eastAsia="en-US"/>
        </w:rPr>
        <w:t>reformei</w:t>
      </w:r>
      <w:proofErr w:type="spellEnd"/>
      <w:r w:rsidRPr="00147036">
        <w:rPr>
          <w:color w:val="000000"/>
          <w:sz w:val="24"/>
          <w:szCs w:val="24"/>
          <w:lang w:val="en-US" w:eastAsia="en-US"/>
        </w:rPr>
        <w:t xml:space="preserve"> respective.  </w:t>
      </w:r>
    </w:p>
    <w:p w:rsidR="00147036" w:rsidRPr="00147036" w:rsidRDefault="00147036" w:rsidP="00A92BB1">
      <w:pPr>
        <w:jc w:val="center"/>
        <w:outlineLvl w:val="6"/>
        <w:rPr>
          <w:sz w:val="24"/>
          <w:szCs w:val="24"/>
          <w:u w:val="single"/>
        </w:rPr>
      </w:pPr>
      <w:r w:rsidRPr="00147036">
        <w:rPr>
          <w:rFonts w:ascii="Calibri" w:eastAsia="Calibri" w:hAnsi="Calibri"/>
          <w:noProof/>
          <w:sz w:val="22"/>
          <w:szCs w:val="22"/>
          <w:lang w:val="en-US" w:eastAsia="en-US"/>
        </w:rPr>
        <w:drawing>
          <wp:inline distT="0" distB="0" distL="0" distR="0" wp14:anchorId="3A2ADEE0" wp14:editId="19B4FE43">
            <wp:extent cx="5105400" cy="2965450"/>
            <wp:effectExtent l="0" t="0" r="0" b="6350"/>
            <wp:docPr id="9" name="Diagramă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47036" w:rsidRPr="00147036" w:rsidRDefault="00147036" w:rsidP="00147036">
      <w:pPr>
        <w:rPr>
          <w:sz w:val="24"/>
          <w:szCs w:val="24"/>
          <w:u w:val="single"/>
        </w:rPr>
      </w:pPr>
    </w:p>
    <w:p w:rsidR="00147036" w:rsidRPr="00147036" w:rsidRDefault="00147036" w:rsidP="00147036">
      <w:pPr>
        <w:rPr>
          <w:sz w:val="24"/>
          <w:szCs w:val="24"/>
          <w:u w:val="single"/>
        </w:rPr>
      </w:pPr>
      <w:r w:rsidRPr="00147036">
        <w:rPr>
          <w:i/>
        </w:rPr>
        <w:t>Sursă: Ministerul Finanțelor</w:t>
      </w:r>
    </w:p>
    <w:p w:rsidR="00147036" w:rsidRPr="00147036" w:rsidRDefault="00147036" w:rsidP="00147036">
      <w:pPr>
        <w:jc w:val="center"/>
        <w:rPr>
          <w:sz w:val="24"/>
          <w:szCs w:val="24"/>
          <w:u w:val="single"/>
        </w:rPr>
      </w:pPr>
    </w:p>
    <w:p w:rsidR="00147036" w:rsidRPr="00147036" w:rsidRDefault="00147036" w:rsidP="00147036">
      <w:pPr>
        <w:jc w:val="center"/>
        <w:rPr>
          <w:b/>
          <w:bCs/>
          <w:i/>
          <w:iCs/>
          <w:sz w:val="24"/>
          <w:szCs w:val="24"/>
          <w:u w:val="single"/>
        </w:rPr>
      </w:pPr>
    </w:p>
    <w:p w:rsidR="00147036" w:rsidRPr="00147036" w:rsidRDefault="00147036" w:rsidP="00147036">
      <w:pPr>
        <w:jc w:val="both"/>
        <w:outlineLvl w:val="6"/>
        <w:rPr>
          <w:sz w:val="24"/>
          <w:szCs w:val="24"/>
        </w:rPr>
      </w:pPr>
      <w:r w:rsidRPr="00147036">
        <w:rPr>
          <w:sz w:val="24"/>
          <w:szCs w:val="24"/>
        </w:rPr>
        <w:t xml:space="preserve">După clasificarea economică, cea mai mare pondere în volumul total al </w:t>
      </w:r>
      <w:r w:rsidRPr="00147036">
        <w:rPr>
          <w:b/>
          <w:i/>
          <w:sz w:val="24"/>
          <w:szCs w:val="24"/>
        </w:rPr>
        <w:t>cheltuielilor</w:t>
      </w:r>
      <w:r w:rsidRPr="00147036">
        <w:rPr>
          <w:sz w:val="24"/>
          <w:szCs w:val="24"/>
        </w:rPr>
        <w:t xml:space="preserve"> revine prestațiilor sociale – 44,4%, urmată de cheltuielile de personal – 30%, cheltuielile pentru achiziționarea bunurilor și serviciilor – 15,5%, acordarea subsidiilor – 5,2% și achitarea dobînzilor pentru la datoria de stat – 1,5%. </w:t>
      </w:r>
    </w:p>
    <w:p w:rsidR="00147036" w:rsidRPr="00147036" w:rsidRDefault="00147036" w:rsidP="00147036">
      <w:pPr>
        <w:jc w:val="both"/>
        <w:outlineLvl w:val="6"/>
        <w:rPr>
          <w:sz w:val="24"/>
          <w:szCs w:val="24"/>
        </w:rPr>
      </w:pPr>
    </w:p>
    <w:p w:rsidR="00147036" w:rsidRPr="00147036" w:rsidRDefault="00147036" w:rsidP="00147036">
      <w:pPr>
        <w:jc w:val="both"/>
        <w:outlineLvl w:val="6"/>
        <w:rPr>
          <w:sz w:val="24"/>
          <w:szCs w:val="24"/>
        </w:rPr>
      </w:pPr>
      <w:r w:rsidRPr="00147036">
        <w:rPr>
          <w:sz w:val="24"/>
          <w:szCs w:val="24"/>
        </w:rPr>
        <w:t xml:space="preserve">După clasificarea funcțională, cheltuielile cu cea mai mare cotă sunt cheltuielile pentru protecția socială – 45,2%, </w:t>
      </w:r>
      <w:proofErr w:type="spellStart"/>
      <w:r w:rsidRPr="00147036">
        <w:rPr>
          <w:sz w:val="24"/>
          <w:szCs w:val="24"/>
        </w:rPr>
        <w:t>învățămînt</w:t>
      </w:r>
      <w:proofErr w:type="spellEnd"/>
      <w:r w:rsidRPr="00147036">
        <w:rPr>
          <w:sz w:val="24"/>
          <w:szCs w:val="24"/>
        </w:rPr>
        <w:t xml:space="preserve"> – 18,2%, ocrotirea sănătății – 11,3%, servicii de stat cu destinație generară – 7,9%, servicii în domeniul economiei – 6,1% etc.</w:t>
      </w:r>
    </w:p>
    <w:p w:rsidR="00147036" w:rsidRPr="00147036" w:rsidRDefault="00147036" w:rsidP="00147036">
      <w:pPr>
        <w:jc w:val="both"/>
        <w:outlineLvl w:val="6"/>
        <w:rPr>
          <w:sz w:val="24"/>
          <w:szCs w:val="24"/>
          <w:u w:val="single"/>
        </w:rPr>
      </w:pPr>
    </w:p>
    <w:p w:rsidR="00147036" w:rsidRDefault="00147036" w:rsidP="00147036">
      <w:pPr>
        <w:jc w:val="both"/>
        <w:outlineLvl w:val="6"/>
        <w:rPr>
          <w:sz w:val="24"/>
          <w:szCs w:val="24"/>
          <w:u w:val="single"/>
        </w:rPr>
      </w:pPr>
    </w:p>
    <w:p w:rsidR="00C2068C" w:rsidRDefault="00C2068C" w:rsidP="00147036">
      <w:pPr>
        <w:jc w:val="both"/>
        <w:outlineLvl w:val="6"/>
        <w:rPr>
          <w:sz w:val="24"/>
          <w:szCs w:val="24"/>
          <w:u w:val="single"/>
        </w:rPr>
      </w:pPr>
    </w:p>
    <w:p w:rsidR="00C2068C" w:rsidRDefault="00C2068C" w:rsidP="00147036">
      <w:pPr>
        <w:jc w:val="both"/>
        <w:outlineLvl w:val="6"/>
        <w:rPr>
          <w:sz w:val="24"/>
          <w:szCs w:val="24"/>
          <w:u w:val="single"/>
        </w:rPr>
      </w:pPr>
    </w:p>
    <w:p w:rsidR="00C2068C" w:rsidRDefault="00C2068C" w:rsidP="00147036">
      <w:pPr>
        <w:jc w:val="both"/>
        <w:outlineLvl w:val="6"/>
        <w:rPr>
          <w:sz w:val="24"/>
          <w:szCs w:val="24"/>
          <w:u w:val="single"/>
        </w:rPr>
      </w:pPr>
    </w:p>
    <w:p w:rsidR="00C2068C" w:rsidRDefault="00C2068C" w:rsidP="00147036">
      <w:pPr>
        <w:jc w:val="both"/>
        <w:outlineLvl w:val="6"/>
        <w:rPr>
          <w:sz w:val="24"/>
          <w:szCs w:val="24"/>
          <w:u w:val="single"/>
        </w:rPr>
      </w:pPr>
    </w:p>
    <w:p w:rsidR="00C2068C" w:rsidRDefault="00C2068C" w:rsidP="00147036">
      <w:pPr>
        <w:jc w:val="both"/>
        <w:outlineLvl w:val="6"/>
        <w:rPr>
          <w:sz w:val="24"/>
          <w:szCs w:val="24"/>
          <w:u w:val="single"/>
        </w:rPr>
      </w:pPr>
    </w:p>
    <w:p w:rsidR="00C2068C" w:rsidRDefault="00C2068C" w:rsidP="00147036">
      <w:pPr>
        <w:jc w:val="both"/>
        <w:outlineLvl w:val="6"/>
        <w:rPr>
          <w:sz w:val="24"/>
          <w:szCs w:val="24"/>
          <w:u w:val="single"/>
        </w:rPr>
      </w:pPr>
    </w:p>
    <w:p w:rsidR="00C2068C" w:rsidRDefault="00C2068C" w:rsidP="00147036">
      <w:pPr>
        <w:jc w:val="both"/>
        <w:outlineLvl w:val="6"/>
        <w:rPr>
          <w:sz w:val="24"/>
          <w:szCs w:val="24"/>
          <w:u w:val="single"/>
        </w:rPr>
      </w:pPr>
    </w:p>
    <w:p w:rsidR="00C2068C" w:rsidRDefault="00C2068C" w:rsidP="00147036">
      <w:pPr>
        <w:jc w:val="both"/>
        <w:outlineLvl w:val="6"/>
        <w:rPr>
          <w:sz w:val="24"/>
          <w:szCs w:val="24"/>
          <w:u w:val="single"/>
        </w:rPr>
      </w:pPr>
    </w:p>
    <w:p w:rsidR="00C2068C" w:rsidRPr="00147036" w:rsidRDefault="00C2068C" w:rsidP="00147036">
      <w:pPr>
        <w:jc w:val="both"/>
        <w:outlineLvl w:val="6"/>
        <w:rPr>
          <w:sz w:val="24"/>
          <w:szCs w:val="24"/>
          <w:u w:val="single"/>
        </w:rPr>
      </w:pPr>
    </w:p>
    <w:p w:rsidR="00147036" w:rsidRPr="00147036" w:rsidRDefault="00147036" w:rsidP="00147036">
      <w:pPr>
        <w:jc w:val="center"/>
        <w:outlineLvl w:val="6"/>
        <w:rPr>
          <w:b/>
          <w:i/>
          <w:sz w:val="24"/>
          <w:szCs w:val="24"/>
        </w:rPr>
      </w:pPr>
      <w:r w:rsidRPr="00147036">
        <w:rPr>
          <w:b/>
          <w:i/>
          <w:sz w:val="24"/>
          <w:szCs w:val="24"/>
        </w:rPr>
        <w:lastRenderedPageBreak/>
        <w:t xml:space="preserve">Cheltuielile BPN după clasificarea funcțională, </w:t>
      </w:r>
    </w:p>
    <w:p w:rsidR="00147036" w:rsidRPr="00147036" w:rsidRDefault="00147036" w:rsidP="00147036">
      <w:pPr>
        <w:jc w:val="center"/>
        <w:outlineLvl w:val="6"/>
        <w:rPr>
          <w:i/>
          <w:sz w:val="24"/>
          <w:szCs w:val="24"/>
          <w:u w:val="single"/>
        </w:rPr>
      </w:pPr>
      <w:r w:rsidRPr="00147036">
        <w:rPr>
          <w:i/>
          <w:sz w:val="24"/>
          <w:szCs w:val="24"/>
        </w:rPr>
        <w:t>ianuarie 2019, mil.lei</w:t>
      </w:r>
    </w:p>
    <w:p w:rsidR="00147036" w:rsidRPr="00147036" w:rsidRDefault="00147036" w:rsidP="00147036">
      <w:pPr>
        <w:jc w:val="center"/>
        <w:outlineLvl w:val="6"/>
        <w:rPr>
          <w:sz w:val="24"/>
          <w:szCs w:val="24"/>
          <w:u w:val="single"/>
        </w:rPr>
      </w:pPr>
      <w:r w:rsidRPr="00147036">
        <w:rPr>
          <w:rFonts w:ascii="Calibri" w:eastAsia="Calibri" w:hAnsi="Calibri"/>
          <w:noProof/>
          <w:sz w:val="22"/>
          <w:szCs w:val="22"/>
          <w:lang w:val="en-US" w:eastAsia="en-US"/>
        </w:rPr>
        <w:drawing>
          <wp:inline distT="0" distB="0" distL="0" distR="0" wp14:anchorId="4F8AFD5F" wp14:editId="222705B9">
            <wp:extent cx="5943600" cy="2667000"/>
            <wp:effectExtent l="0" t="0" r="0" b="0"/>
            <wp:docPr id="3" name="Diagramă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47036" w:rsidRPr="00147036" w:rsidRDefault="00147036" w:rsidP="00147036">
      <w:pPr>
        <w:spacing w:before="60" w:after="60"/>
        <w:ind w:firstLine="1560"/>
        <w:jc w:val="both"/>
        <w:rPr>
          <w:i/>
        </w:rPr>
      </w:pPr>
      <w:r w:rsidRPr="00147036">
        <w:rPr>
          <w:i/>
        </w:rPr>
        <w:t>Sursă: Ministerul Finanțelor</w:t>
      </w:r>
    </w:p>
    <w:p w:rsidR="00147036" w:rsidRPr="00147036" w:rsidRDefault="00147036" w:rsidP="00147036">
      <w:pPr>
        <w:spacing w:before="60" w:after="60"/>
        <w:jc w:val="both"/>
        <w:rPr>
          <w:sz w:val="24"/>
          <w:szCs w:val="24"/>
          <w:u w:val="single"/>
        </w:rPr>
      </w:pPr>
    </w:p>
    <w:p w:rsidR="00147036" w:rsidRPr="00147036" w:rsidRDefault="00147036" w:rsidP="00147036">
      <w:pPr>
        <w:jc w:val="both"/>
        <w:rPr>
          <w:sz w:val="24"/>
          <w:szCs w:val="24"/>
        </w:rPr>
      </w:pPr>
      <w:r w:rsidRPr="00147036">
        <w:rPr>
          <w:sz w:val="24"/>
          <w:szCs w:val="24"/>
        </w:rPr>
        <w:t xml:space="preserve">Încasările la </w:t>
      </w:r>
      <w:r w:rsidRPr="00147036">
        <w:rPr>
          <w:i/>
          <w:sz w:val="24"/>
          <w:szCs w:val="24"/>
        </w:rPr>
        <w:t>bugetul de stat</w:t>
      </w:r>
      <w:r w:rsidRPr="00147036">
        <w:rPr>
          <w:sz w:val="24"/>
          <w:szCs w:val="24"/>
        </w:rPr>
        <w:t xml:space="preserve"> pe toate componentele au constituit circa 2,5 </w:t>
      </w:r>
      <w:proofErr w:type="spellStart"/>
      <w:r w:rsidRPr="00147036">
        <w:rPr>
          <w:sz w:val="24"/>
          <w:szCs w:val="24"/>
        </w:rPr>
        <w:t>mild.lei</w:t>
      </w:r>
      <w:proofErr w:type="spellEnd"/>
      <w:r w:rsidRPr="00147036">
        <w:rPr>
          <w:sz w:val="24"/>
          <w:szCs w:val="24"/>
        </w:rPr>
        <w:t xml:space="preserve"> (cu 10% mai mult decît în ianuarie 2018). Din acestea, 92% revin impozitelor și taxelor. Cel mai mare generator de venituri la bugetul de stat a fost Serviciul Fiscal de Stat. Veniturile administrate de către instituție au constituit circa 1,3 mild. lei (+11,4%). Colectările Serviciului Vamal, comparativ cu luna ianuarie 2018 s-au diminuat cu 4,7%, constituind 1,2 mil. lei. Veniturile din TVA au înregistrat o creștere de 9,7%, dar din accize au scăzut – cu 10%. </w:t>
      </w:r>
    </w:p>
    <w:p w:rsidR="00147036" w:rsidRPr="00147036" w:rsidRDefault="00147036" w:rsidP="00147036">
      <w:pPr>
        <w:jc w:val="both"/>
        <w:rPr>
          <w:sz w:val="24"/>
          <w:szCs w:val="24"/>
          <w:u w:val="single"/>
        </w:rPr>
      </w:pPr>
    </w:p>
    <w:p w:rsidR="00147036" w:rsidRPr="00147036" w:rsidRDefault="00147036" w:rsidP="00147036">
      <w:pPr>
        <w:jc w:val="both"/>
        <w:rPr>
          <w:sz w:val="24"/>
          <w:szCs w:val="24"/>
        </w:rPr>
      </w:pPr>
      <w:r w:rsidRPr="00147036">
        <w:rPr>
          <w:sz w:val="24"/>
          <w:szCs w:val="24"/>
        </w:rPr>
        <w:t xml:space="preserve">Partea de cheltuieli a bugetului de stat s-a realizat în sumă de circa 2,9 mild. lei, care au fost cu 26,9% peste nivelul lunii ianuarie a anului 2018. Executarea bugetului de stat s-a soldat cu un deficit de -352,7 mil. lei. </w:t>
      </w:r>
    </w:p>
    <w:p w:rsidR="00147036" w:rsidRPr="00147036" w:rsidRDefault="00147036" w:rsidP="00147036">
      <w:pPr>
        <w:jc w:val="both"/>
        <w:rPr>
          <w:sz w:val="24"/>
          <w:szCs w:val="24"/>
          <w:u w:val="single"/>
        </w:rPr>
      </w:pPr>
    </w:p>
    <w:p w:rsidR="00147036" w:rsidRPr="00147036" w:rsidRDefault="00147036" w:rsidP="00147036">
      <w:pPr>
        <w:jc w:val="both"/>
        <w:rPr>
          <w:sz w:val="24"/>
          <w:szCs w:val="24"/>
        </w:rPr>
      </w:pPr>
      <w:r w:rsidRPr="00147036">
        <w:rPr>
          <w:sz w:val="24"/>
          <w:szCs w:val="24"/>
        </w:rPr>
        <w:t xml:space="preserve">La </w:t>
      </w:r>
      <w:r w:rsidRPr="00147036">
        <w:rPr>
          <w:i/>
          <w:iCs/>
          <w:sz w:val="24"/>
          <w:szCs w:val="24"/>
        </w:rPr>
        <w:t>bugetele locale</w:t>
      </w:r>
      <w:r w:rsidRPr="00147036">
        <w:rPr>
          <w:sz w:val="24"/>
          <w:szCs w:val="24"/>
        </w:rPr>
        <w:t xml:space="preserve"> în perioada de analiză au fost acumulate venituri în sumă de circa 966,4 mil.lei, în creștere cu 19,6%. Din suma totală a veniturilor bugetelor locale, veniturilor proprii revin 33,8%, restul fiind transferurile de la bugetul de stat. S-au efectuat cheltuieli în sumă de 953,4 mil. lei, cu 35,9% peste nivelul lunii ianuarie 2018. În ansamblu, bugetele locale au înregistrat un excedent în sumă de 13 mil. lei.</w:t>
      </w:r>
    </w:p>
    <w:p w:rsidR="00147036" w:rsidRPr="00147036" w:rsidRDefault="00147036" w:rsidP="00147036">
      <w:pPr>
        <w:jc w:val="both"/>
        <w:rPr>
          <w:sz w:val="24"/>
          <w:szCs w:val="24"/>
          <w:u w:val="single"/>
        </w:rPr>
      </w:pPr>
    </w:p>
    <w:p w:rsidR="00147036" w:rsidRPr="00147036" w:rsidRDefault="00147036" w:rsidP="00147036">
      <w:pPr>
        <w:jc w:val="both"/>
        <w:rPr>
          <w:sz w:val="24"/>
          <w:szCs w:val="24"/>
        </w:rPr>
      </w:pPr>
      <w:r w:rsidRPr="00147036">
        <w:rPr>
          <w:sz w:val="24"/>
          <w:szCs w:val="24"/>
        </w:rPr>
        <w:t>La</w:t>
      </w:r>
      <w:r w:rsidRPr="00147036">
        <w:rPr>
          <w:i/>
          <w:iCs/>
          <w:sz w:val="24"/>
          <w:szCs w:val="24"/>
        </w:rPr>
        <w:t xml:space="preserve"> bugetul asigurărilor sociale de stat </w:t>
      </w:r>
      <w:r w:rsidRPr="00147036">
        <w:rPr>
          <w:iCs/>
          <w:sz w:val="24"/>
          <w:szCs w:val="24"/>
        </w:rPr>
        <w:t>(BASS)</w:t>
      </w:r>
      <w:r w:rsidRPr="00147036">
        <w:rPr>
          <w:i/>
          <w:iCs/>
          <w:sz w:val="24"/>
          <w:szCs w:val="24"/>
        </w:rPr>
        <w:t xml:space="preserve"> </w:t>
      </w:r>
      <w:r w:rsidRPr="00147036">
        <w:rPr>
          <w:sz w:val="24"/>
          <w:szCs w:val="24"/>
        </w:rPr>
        <w:t xml:space="preserve">au fost acumulate venituri în sumă de circa 2 mil.lei, inclusiv: </w:t>
      </w:r>
      <w:proofErr w:type="spellStart"/>
      <w:r w:rsidRPr="00147036">
        <w:rPr>
          <w:sz w:val="24"/>
          <w:szCs w:val="24"/>
        </w:rPr>
        <w:t>contribuţii</w:t>
      </w:r>
      <w:proofErr w:type="spellEnd"/>
      <w:r w:rsidRPr="00147036">
        <w:rPr>
          <w:sz w:val="24"/>
          <w:szCs w:val="24"/>
        </w:rPr>
        <w:t xml:space="preserve"> de asigurări sociale de stat obligatorii – 982,7 mil. lei (49,2%), transferuri de la bugetul de stat – 1 mil</w:t>
      </w:r>
      <w:r w:rsidR="00CC012B">
        <w:rPr>
          <w:sz w:val="24"/>
          <w:szCs w:val="24"/>
        </w:rPr>
        <w:t>d</w:t>
      </w:r>
      <w:r w:rsidRPr="00147036">
        <w:rPr>
          <w:sz w:val="24"/>
          <w:szCs w:val="24"/>
        </w:rPr>
        <w:t>. lei (50,3%) și alte venituri – 10,1 mil. lei. Veniturile totale acumulate la acest buget au fost în creştere cu 14,6%. S-au efectuat cheltuieli în sumă de 1,8 mil. lei, cu 16,5% mai mult. Respectiv, bugetul asigurărilor sociale de stat a înregistrat un sold bugetar pozitiv la nivel de 230,8 mil. lei.</w:t>
      </w:r>
    </w:p>
    <w:p w:rsidR="00147036" w:rsidRPr="00147036" w:rsidRDefault="00147036" w:rsidP="00147036">
      <w:pPr>
        <w:jc w:val="both"/>
        <w:rPr>
          <w:sz w:val="24"/>
          <w:szCs w:val="24"/>
          <w:u w:val="single"/>
        </w:rPr>
      </w:pPr>
    </w:p>
    <w:p w:rsidR="00147036" w:rsidRPr="00147036" w:rsidRDefault="00147036" w:rsidP="00147036">
      <w:pPr>
        <w:jc w:val="both"/>
        <w:rPr>
          <w:sz w:val="24"/>
          <w:szCs w:val="24"/>
        </w:rPr>
      </w:pPr>
      <w:r w:rsidRPr="00147036">
        <w:rPr>
          <w:sz w:val="24"/>
          <w:szCs w:val="24"/>
        </w:rPr>
        <w:t xml:space="preserve">Reforma fiscală menționată mai sus prevede, de asemenea, și reducerea contribuției angajatorului la BASS de la 23% la 18%. Conform analizei lunare a încasărilor din contribuții și prime de asigurării obligatorii, impactul reformei începe să ia contur: din luna octombrie, ritmurile anuale de creștere s-au temperat, în luna decembrie fiind înregistrată chiar diminuarea încasărilor respective comparativ cu luna decembrie 2017.  </w:t>
      </w:r>
    </w:p>
    <w:p w:rsidR="00147036" w:rsidRPr="00147036" w:rsidRDefault="00147036" w:rsidP="00147036">
      <w:pPr>
        <w:jc w:val="center"/>
        <w:rPr>
          <w:sz w:val="24"/>
          <w:szCs w:val="24"/>
          <w:u w:val="single"/>
        </w:rPr>
      </w:pPr>
      <w:r w:rsidRPr="00147036">
        <w:rPr>
          <w:noProof/>
          <w:u w:val="single"/>
          <w:lang w:val="en-US" w:eastAsia="en-US"/>
        </w:rPr>
        <w:lastRenderedPageBreak/>
        <mc:AlternateContent>
          <mc:Choice Requires="wps">
            <w:drawing>
              <wp:anchor distT="0" distB="0" distL="114300" distR="114300" simplePos="0" relativeHeight="251725312" behindDoc="0" locked="0" layoutInCell="1" allowOverlap="1" wp14:anchorId="4E134660" wp14:editId="547FA53E">
                <wp:simplePos x="0" y="0"/>
                <wp:positionH relativeFrom="margin">
                  <wp:posOffset>4067175</wp:posOffset>
                </wp:positionH>
                <wp:positionV relativeFrom="paragraph">
                  <wp:posOffset>316230</wp:posOffset>
                </wp:positionV>
                <wp:extent cx="1028700" cy="485775"/>
                <wp:effectExtent l="0" t="0" r="19050" b="28575"/>
                <wp:wrapNone/>
                <wp:docPr id="24" name="Flowchart: Process 24"/>
                <wp:cNvGraphicFramePr/>
                <a:graphic xmlns:a="http://schemas.openxmlformats.org/drawingml/2006/main">
                  <a:graphicData uri="http://schemas.microsoft.com/office/word/2010/wordprocessingShape">
                    <wps:wsp>
                      <wps:cNvSpPr/>
                      <wps:spPr>
                        <a:xfrm>
                          <a:off x="0" y="0"/>
                          <a:ext cx="1028700" cy="485775"/>
                        </a:xfrm>
                        <a:prstGeom prst="flowChartProcess">
                          <a:avLst/>
                        </a:prstGeom>
                        <a:solidFill>
                          <a:sysClr val="window" lastClr="FFFFFF"/>
                        </a:solidFill>
                        <a:ln w="12700" cap="flat" cmpd="sng" algn="ctr">
                          <a:solidFill>
                            <a:sysClr val="window" lastClr="FFFFFF"/>
                          </a:solidFill>
                          <a:prstDash val="solid"/>
                          <a:miter lim="800000"/>
                        </a:ln>
                        <a:effectLst/>
                      </wps:spPr>
                      <wps:txbx>
                        <w:txbxContent>
                          <w:p w:rsidR="007B5DE1" w:rsidRPr="00AA01E6" w:rsidRDefault="007B5DE1" w:rsidP="00147036">
                            <w:pPr>
                              <w:jc w:val="center"/>
                              <w:rPr>
                                <w:color w:val="000000"/>
                                <w:sz w:val="22"/>
                                <w:szCs w:val="22"/>
                                <w14:textOutline w14:w="9525" w14:cap="rnd" w14:cmpd="sng" w14:algn="ctr">
                                  <w14:noFill/>
                                  <w14:prstDash w14:val="solid"/>
                                  <w14:bevel/>
                                </w14:textOutline>
                              </w:rPr>
                            </w:pPr>
                            <w:r w:rsidRPr="00AA01E6">
                              <w:rPr>
                                <w:color w:val="000000"/>
                                <w:sz w:val="22"/>
                                <w:szCs w:val="22"/>
                                <w14:textOutline w14:w="9525" w14:cap="rnd" w14:cmpd="sng" w14:algn="ctr">
                                  <w14:noFill/>
                                  <w14:prstDash w14:val="solid"/>
                                  <w14:bevel/>
                                </w14:textOutline>
                              </w:rPr>
                              <w:t>Reforma fiscală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34660" id="_x0000_t109" coordsize="21600,21600" o:spt="109" path="m,l,21600r21600,l21600,xe">
                <v:stroke joinstyle="miter"/>
                <v:path gradientshapeok="t" o:connecttype="rect"/>
              </v:shapetype>
              <v:shape id="Flowchart: Process 24" o:spid="_x0000_s1026" type="#_x0000_t109" style="position:absolute;left:0;text-align:left;margin-left:320.25pt;margin-top:24.9pt;width:81pt;height:38.25pt;z-index:25172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" fillcolor="window" strokecolor="window" strokeweight="1pt">
                <v:textbox>
                  <w:txbxContent>
                    <w:p w:rsidR="007B5DE1" w:rsidRPr="00AA01E6" w:rsidRDefault="007B5DE1" w:rsidP="00147036">
                      <w:pPr>
                        <w:jc w:val="center"/>
                        <w:rPr>
                          <w:color w:val="000000"/>
                          <w:sz w:val="22"/>
                          <w:szCs w:val="22"/>
                          <w14:textOutline w14:w="9525" w14:cap="rnd" w14:cmpd="sng" w14:algn="ctr">
                            <w14:noFill/>
                            <w14:prstDash w14:val="solid"/>
                            <w14:bevel/>
                          </w14:textOutline>
                        </w:rPr>
                      </w:pPr>
                      <w:r w:rsidRPr="00AA01E6">
                        <w:rPr>
                          <w:color w:val="000000"/>
                          <w:sz w:val="22"/>
                          <w:szCs w:val="22"/>
                          <w14:textOutline w14:w="9525" w14:cap="rnd" w14:cmpd="sng" w14:algn="ctr">
                            <w14:noFill/>
                            <w14:prstDash w14:val="solid"/>
                            <w14:bevel/>
                          </w14:textOutline>
                        </w:rPr>
                        <w:t>Reforma fiscală</w:t>
                      </w:r>
                    </w:p>
                  </w:txbxContent>
                </v:textbox>
                <w10:wrap anchorx="margin"/>
              </v:shape>
            </w:pict>
          </mc:Fallback>
        </mc:AlternateContent>
      </w:r>
      <w:r w:rsidRPr="00147036">
        <w:rPr>
          <w:noProof/>
          <w:u w:val="single"/>
          <w:lang w:val="en-US" w:eastAsia="en-US"/>
        </w:rPr>
        <mc:AlternateContent>
          <mc:Choice Requires="wps">
            <w:drawing>
              <wp:anchor distT="0" distB="0" distL="114300" distR="114300" simplePos="0" relativeHeight="251724288" behindDoc="0" locked="0" layoutInCell="1" allowOverlap="1" wp14:anchorId="3FF32998" wp14:editId="6E8F7F89">
                <wp:simplePos x="0" y="0"/>
                <wp:positionH relativeFrom="column">
                  <wp:posOffset>3819525</wp:posOffset>
                </wp:positionH>
                <wp:positionV relativeFrom="paragraph">
                  <wp:posOffset>568959</wp:posOffset>
                </wp:positionV>
                <wp:extent cx="19050" cy="1830705"/>
                <wp:effectExtent l="0" t="0" r="19050" b="17145"/>
                <wp:wrapNone/>
                <wp:docPr id="25" name="Straight Connector 25"/>
                <wp:cNvGraphicFramePr/>
                <a:graphic xmlns:a="http://schemas.openxmlformats.org/drawingml/2006/main">
                  <a:graphicData uri="http://schemas.microsoft.com/office/word/2010/wordprocessingShape">
                    <wps:wsp>
                      <wps:cNvCnPr/>
                      <wps:spPr>
                        <a:xfrm flipV="1">
                          <a:off x="0" y="0"/>
                          <a:ext cx="19050" cy="1830705"/>
                        </a:xfrm>
                        <a:prstGeom prst="line">
                          <a:avLst/>
                        </a:prstGeom>
                        <a:noFill/>
                        <a:ln w="19050" cap="flat" cmpd="sng" algn="ctr">
                          <a:solidFill>
                            <a:srgbClr val="5B9BD5"/>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CCE313" id="Straight Connector 25" o:spid="_x0000_s1026" style="position:absolute;flip:y;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75pt,44.8pt" to="302.25pt,1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" strokecolor="#5b9bd5" strokeweight="1.5pt">
                <v:stroke dashstyle="1 1" joinstyle="miter"/>
              </v:line>
            </w:pict>
          </mc:Fallback>
        </mc:AlternateContent>
      </w:r>
      <w:r w:rsidRPr="00147036">
        <w:rPr>
          <w:rFonts w:ascii="Calibri" w:eastAsia="Calibri" w:hAnsi="Calibri"/>
          <w:noProof/>
          <w:sz w:val="22"/>
          <w:szCs w:val="22"/>
          <w:lang w:val="en-US" w:eastAsia="en-US"/>
        </w:rPr>
        <w:drawing>
          <wp:inline distT="0" distB="0" distL="0" distR="0" wp14:anchorId="121CAA60" wp14:editId="70C0E53C">
            <wp:extent cx="4945380" cy="3097530"/>
            <wp:effectExtent l="0" t="0" r="7620" b="7620"/>
            <wp:docPr id="13" name="Diagramă 1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47036" w:rsidRPr="00147036" w:rsidRDefault="00147036" w:rsidP="00147036">
      <w:pPr>
        <w:jc w:val="center"/>
        <w:rPr>
          <w:sz w:val="24"/>
          <w:szCs w:val="24"/>
          <w:u w:val="single"/>
        </w:rPr>
      </w:pPr>
    </w:p>
    <w:p w:rsidR="00147036" w:rsidRPr="00147036" w:rsidRDefault="00147036" w:rsidP="00147036">
      <w:pPr>
        <w:jc w:val="center"/>
        <w:rPr>
          <w:sz w:val="24"/>
          <w:szCs w:val="24"/>
          <w:u w:val="single"/>
        </w:rPr>
      </w:pPr>
    </w:p>
    <w:p w:rsidR="00147036" w:rsidRPr="00147036" w:rsidRDefault="00147036" w:rsidP="00147036">
      <w:pPr>
        <w:jc w:val="both"/>
        <w:rPr>
          <w:i/>
        </w:rPr>
      </w:pPr>
      <w:r w:rsidRPr="00147036">
        <w:rPr>
          <w:i/>
        </w:rPr>
        <w:t xml:space="preserve">                                      Sursă: Ministerul Finanțelor</w:t>
      </w:r>
    </w:p>
    <w:p w:rsidR="00147036" w:rsidRPr="00147036" w:rsidRDefault="00147036" w:rsidP="00147036">
      <w:pPr>
        <w:jc w:val="both"/>
        <w:rPr>
          <w:sz w:val="24"/>
          <w:szCs w:val="24"/>
          <w:u w:val="single"/>
        </w:rPr>
      </w:pPr>
    </w:p>
    <w:p w:rsidR="00147036" w:rsidRPr="00147036" w:rsidRDefault="00147036" w:rsidP="00147036">
      <w:pPr>
        <w:jc w:val="both"/>
        <w:rPr>
          <w:sz w:val="24"/>
          <w:szCs w:val="24"/>
        </w:rPr>
      </w:pPr>
      <w:r w:rsidRPr="00147036">
        <w:rPr>
          <w:sz w:val="24"/>
          <w:szCs w:val="24"/>
        </w:rPr>
        <w:t xml:space="preserve">În ianuarie 2019 la </w:t>
      </w:r>
      <w:r w:rsidRPr="00147036">
        <w:rPr>
          <w:i/>
          <w:iCs/>
          <w:sz w:val="24"/>
          <w:szCs w:val="24"/>
        </w:rPr>
        <w:t>fondurile asigurărilor obligatorii de asistenţă medicală</w:t>
      </w:r>
      <w:r w:rsidRPr="00147036">
        <w:rPr>
          <w:sz w:val="24"/>
          <w:szCs w:val="24"/>
        </w:rPr>
        <w:t xml:space="preserve"> au fost acumulate venituri în sumă de 615,2 mil.lei, inclusiv: încasări din contribuții și prime pentru asigurările obligatorii de asistență medicală – circa 375,3 mil.lei (61%), transferuri primite de la bugetul de stat – 235,9 mil.lei (38,3%) și alte venituri – 4 mil. lei. Veniturile totale acumulate au fost mai mari decît nivelul înregistrat în ianuarie 2018 cu 17,9%. S-au efectuat cheltuieli pentru ocrotirea sănătăţii în sumă de 417 mil. lei, cu 20,4% mai mult. Executarea fondurilor asigurărilor obligatorii de asistenţă medicală a înregistrat o </w:t>
      </w:r>
      <w:proofErr w:type="spellStart"/>
      <w:r w:rsidRPr="00147036">
        <w:rPr>
          <w:sz w:val="24"/>
          <w:szCs w:val="24"/>
        </w:rPr>
        <w:t>depăşire</w:t>
      </w:r>
      <w:proofErr w:type="spellEnd"/>
      <w:r w:rsidRPr="00147036">
        <w:rPr>
          <w:sz w:val="24"/>
          <w:szCs w:val="24"/>
        </w:rPr>
        <w:t xml:space="preserve"> a veniturilor f</w:t>
      </w:r>
      <w:r w:rsidR="00CC012B">
        <w:rPr>
          <w:sz w:val="24"/>
          <w:szCs w:val="24"/>
        </w:rPr>
        <w:t>ață de cheltuieli în sumă de 198,2</w:t>
      </w:r>
      <w:r w:rsidRPr="00147036">
        <w:rPr>
          <w:sz w:val="24"/>
          <w:szCs w:val="24"/>
        </w:rPr>
        <w:t xml:space="preserve"> mil. lei. </w:t>
      </w:r>
    </w:p>
    <w:p w:rsidR="00433308" w:rsidRPr="00433308" w:rsidRDefault="00433308" w:rsidP="00433308">
      <w:pPr>
        <w:jc w:val="both"/>
        <w:rPr>
          <w:sz w:val="24"/>
          <w:szCs w:val="24"/>
        </w:rPr>
      </w:pPr>
    </w:p>
    <w:tbl>
      <w:tblPr>
        <w:tblStyle w:val="ListTable2-Accent512"/>
        <w:tblpPr w:leftFromText="180" w:rightFromText="180" w:vertAnchor="text" w:horzAnchor="margin" w:tblpXSpec="right" w:tblpY="584"/>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01"/>
        <w:gridCol w:w="1138"/>
        <w:gridCol w:w="1186"/>
      </w:tblGrid>
      <w:tr w:rsidR="00433308" w:rsidRPr="00433308" w:rsidTr="00433308">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4725" w:type="dxa"/>
            <w:gridSpan w:val="3"/>
          </w:tcPr>
          <w:p w:rsidR="00433308" w:rsidRPr="00147036" w:rsidRDefault="00433308" w:rsidP="00433308">
            <w:pPr>
              <w:jc w:val="center"/>
              <w:rPr>
                <w:rFonts w:ascii="Times New Roman" w:hAnsi="Times New Roman" w:cs="Times New Roman"/>
                <w:sz w:val="18"/>
                <w:szCs w:val="18"/>
              </w:rPr>
            </w:pPr>
            <w:r w:rsidRPr="00147036">
              <w:rPr>
                <w:rFonts w:ascii="Times New Roman" w:hAnsi="Times New Roman" w:cs="Times New Roman"/>
                <w:sz w:val="18"/>
                <w:szCs w:val="18"/>
              </w:rPr>
              <w:t xml:space="preserve">Parametrii de risc aferenți datoriei de stat stipulați în Programul </w:t>
            </w:r>
          </w:p>
          <w:p w:rsidR="00433308" w:rsidRPr="00147036" w:rsidRDefault="00433308" w:rsidP="00433308">
            <w:pPr>
              <w:jc w:val="center"/>
              <w:rPr>
                <w:rFonts w:ascii="Times New Roman" w:hAnsi="Times New Roman" w:cs="Times New Roman"/>
                <w:sz w:val="18"/>
                <w:szCs w:val="18"/>
              </w:rPr>
            </w:pPr>
            <w:r w:rsidRPr="00147036">
              <w:rPr>
                <w:rFonts w:ascii="Times New Roman" w:hAnsi="Times New Roman" w:cs="Times New Roman"/>
                <w:sz w:val="18"/>
                <w:szCs w:val="18"/>
              </w:rPr>
              <w:t>„Managementul datoriei de stat pe termen mediu</w:t>
            </w:r>
          </w:p>
          <w:p w:rsidR="00433308" w:rsidRPr="00147036" w:rsidRDefault="00433308" w:rsidP="00433308">
            <w:pPr>
              <w:jc w:val="center"/>
              <w:rPr>
                <w:rFonts w:ascii="Times New Roman" w:hAnsi="Times New Roman" w:cs="Times New Roman"/>
                <w:sz w:val="18"/>
                <w:szCs w:val="18"/>
              </w:rPr>
            </w:pPr>
            <w:r w:rsidRPr="00147036">
              <w:rPr>
                <w:rFonts w:ascii="Times New Roman" w:hAnsi="Times New Roman" w:cs="Times New Roman"/>
                <w:sz w:val="18"/>
                <w:szCs w:val="18"/>
              </w:rPr>
              <w:t xml:space="preserve"> (2019-2021)”</w:t>
            </w:r>
          </w:p>
          <w:p w:rsidR="00433308" w:rsidRPr="00147036" w:rsidRDefault="00433308" w:rsidP="00433308">
            <w:pPr>
              <w:jc w:val="center"/>
              <w:rPr>
                <w:rFonts w:ascii="Times New Roman" w:hAnsi="Times New Roman" w:cs="Times New Roman"/>
                <w:sz w:val="18"/>
                <w:szCs w:val="18"/>
              </w:rPr>
            </w:pPr>
          </w:p>
        </w:tc>
      </w:tr>
      <w:tr w:rsidR="00433308" w:rsidRPr="00433308" w:rsidTr="00B71923">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401" w:type="dxa"/>
            <w:vAlign w:val="center"/>
          </w:tcPr>
          <w:p w:rsidR="00433308" w:rsidRPr="00147036" w:rsidRDefault="00433308" w:rsidP="00433308">
            <w:pPr>
              <w:tabs>
                <w:tab w:val="left" w:pos="3372"/>
              </w:tabs>
              <w:rPr>
                <w:rFonts w:ascii="Times New Roman" w:hAnsi="Times New Roman" w:cs="Times New Roman"/>
                <w:i/>
                <w:iCs/>
                <w:color w:val="2F5496" w:themeColor="accent5" w:themeShade="BF"/>
                <w:sz w:val="18"/>
                <w:szCs w:val="18"/>
              </w:rPr>
            </w:pPr>
            <w:r w:rsidRPr="00147036">
              <w:rPr>
                <w:rFonts w:ascii="Times New Roman" w:hAnsi="Times New Roman" w:cs="Times New Roman"/>
                <w:sz w:val="18"/>
                <w:szCs w:val="18"/>
              </w:rPr>
              <w:tab/>
            </w:r>
          </w:p>
        </w:tc>
        <w:tc>
          <w:tcPr>
            <w:tcW w:w="1138" w:type="dxa"/>
            <w:vAlign w:val="center"/>
          </w:tcPr>
          <w:p w:rsidR="00B71923" w:rsidRDefault="00B71923" w:rsidP="00433308">
            <w:pPr>
              <w:tabs>
                <w:tab w:val="left" w:pos="33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18"/>
                <w:szCs w:val="18"/>
              </w:rPr>
            </w:pPr>
          </w:p>
          <w:p w:rsidR="00433308" w:rsidRPr="00147036" w:rsidRDefault="00433308" w:rsidP="00433308">
            <w:pPr>
              <w:tabs>
                <w:tab w:val="left" w:pos="33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color w:val="2F5496" w:themeColor="accent5" w:themeShade="BF"/>
                <w:sz w:val="18"/>
                <w:szCs w:val="18"/>
              </w:rPr>
            </w:pPr>
            <w:r w:rsidRPr="00147036">
              <w:rPr>
                <w:rFonts w:ascii="Times New Roman" w:hAnsi="Times New Roman" w:cs="Times New Roman"/>
                <w:b/>
                <w:i/>
                <w:iCs/>
                <w:sz w:val="18"/>
                <w:szCs w:val="18"/>
              </w:rPr>
              <w:t>Stabilit</w:t>
            </w:r>
          </w:p>
        </w:tc>
        <w:tc>
          <w:tcPr>
            <w:tcW w:w="1186" w:type="dxa"/>
            <w:vAlign w:val="center"/>
          </w:tcPr>
          <w:p w:rsidR="00433308" w:rsidRPr="00147036" w:rsidRDefault="00433308" w:rsidP="00433308">
            <w:pPr>
              <w:tabs>
                <w:tab w:val="left" w:pos="3372"/>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147036">
              <w:rPr>
                <w:rFonts w:ascii="Times New Roman" w:hAnsi="Times New Roman" w:cs="Times New Roman"/>
                <w:b/>
                <w:i/>
                <w:iCs/>
                <w:sz w:val="18"/>
                <w:szCs w:val="18"/>
              </w:rPr>
              <w:t>La 31.01.2019</w:t>
            </w:r>
          </w:p>
        </w:tc>
      </w:tr>
      <w:tr w:rsidR="00433308" w:rsidRPr="00433308" w:rsidTr="00433308">
        <w:trPr>
          <w:trHeight w:val="327"/>
        </w:trPr>
        <w:tc>
          <w:tcPr>
            <w:cnfStyle w:val="001000000000" w:firstRow="0" w:lastRow="0" w:firstColumn="1" w:lastColumn="0" w:oddVBand="0" w:evenVBand="0" w:oddHBand="0" w:evenHBand="0" w:firstRowFirstColumn="0" w:firstRowLastColumn="0" w:lastRowFirstColumn="0" w:lastRowLastColumn="0"/>
            <w:tcW w:w="2401" w:type="dxa"/>
          </w:tcPr>
          <w:p w:rsidR="00433308" w:rsidRPr="00147036" w:rsidRDefault="00433308" w:rsidP="00433308">
            <w:pPr>
              <w:jc w:val="both"/>
              <w:rPr>
                <w:rFonts w:ascii="Times New Roman" w:hAnsi="Times New Roman" w:cs="Times New Roman"/>
                <w:sz w:val="18"/>
                <w:szCs w:val="18"/>
              </w:rPr>
            </w:pPr>
            <w:r w:rsidRPr="00147036">
              <w:rPr>
                <w:rFonts w:ascii="Times New Roman" w:hAnsi="Times New Roman" w:cs="Times New Roman"/>
                <w:sz w:val="18"/>
                <w:szCs w:val="18"/>
              </w:rPr>
              <w:t>Datoria de stat scadentă în decurs de un an (% din total)</w:t>
            </w:r>
          </w:p>
        </w:tc>
        <w:tc>
          <w:tcPr>
            <w:tcW w:w="1138" w:type="dxa"/>
            <w:vAlign w:val="center"/>
          </w:tcPr>
          <w:p w:rsidR="00433308" w:rsidRPr="00147036" w:rsidRDefault="00433308" w:rsidP="004333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rsidR="00433308" w:rsidRPr="00147036" w:rsidRDefault="00433308" w:rsidP="004333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47036">
              <w:rPr>
                <w:rFonts w:ascii="Times New Roman" w:hAnsi="Times New Roman" w:cs="Times New Roman"/>
                <w:sz w:val="18"/>
                <w:szCs w:val="18"/>
              </w:rPr>
              <w:t>15-25%</w:t>
            </w:r>
          </w:p>
        </w:tc>
        <w:tc>
          <w:tcPr>
            <w:tcW w:w="1186" w:type="dxa"/>
            <w:vAlign w:val="center"/>
          </w:tcPr>
          <w:p w:rsidR="00433308" w:rsidRPr="00147036" w:rsidRDefault="00433308" w:rsidP="004333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rsidR="00433308" w:rsidRPr="00147036" w:rsidRDefault="00433308" w:rsidP="004333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47036">
              <w:rPr>
                <w:rFonts w:ascii="Times New Roman" w:hAnsi="Times New Roman" w:cs="Times New Roman"/>
                <w:sz w:val="18"/>
                <w:szCs w:val="18"/>
              </w:rPr>
              <w:t>20,9%</w:t>
            </w:r>
          </w:p>
        </w:tc>
      </w:tr>
      <w:tr w:rsidR="00433308" w:rsidRPr="00433308" w:rsidTr="00433308">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401" w:type="dxa"/>
          </w:tcPr>
          <w:p w:rsidR="00433308" w:rsidRPr="00147036" w:rsidRDefault="00433308" w:rsidP="00433308">
            <w:pPr>
              <w:jc w:val="both"/>
              <w:rPr>
                <w:rFonts w:ascii="Times New Roman" w:hAnsi="Times New Roman" w:cs="Times New Roman"/>
                <w:sz w:val="18"/>
                <w:szCs w:val="18"/>
              </w:rPr>
            </w:pPr>
            <w:r w:rsidRPr="00147036">
              <w:rPr>
                <w:rFonts w:ascii="Times New Roman" w:hAnsi="Times New Roman" w:cs="Times New Roman"/>
                <w:sz w:val="18"/>
                <w:szCs w:val="18"/>
              </w:rPr>
              <w:t>Datoria de stat internă (% din total)</w:t>
            </w:r>
          </w:p>
        </w:tc>
        <w:tc>
          <w:tcPr>
            <w:tcW w:w="1138" w:type="dxa"/>
            <w:vAlign w:val="center"/>
          </w:tcPr>
          <w:p w:rsidR="00433308" w:rsidRPr="00147036" w:rsidRDefault="00433308" w:rsidP="00433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47036">
              <w:rPr>
                <w:rFonts w:ascii="Times New Roman" w:hAnsi="Times New Roman" w:cs="Times New Roman"/>
                <w:sz w:val="18"/>
                <w:szCs w:val="18"/>
              </w:rPr>
              <w:t xml:space="preserve">  35-50%</w:t>
            </w:r>
          </w:p>
        </w:tc>
        <w:tc>
          <w:tcPr>
            <w:tcW w:w="1186" w:type="dxa"/>
            <w:vAlign w:val="center"/>
          </w:tcPr>
          <w:p w:rsidR="00433308" w:rsidRPr="00147036" w:rsidRDefault="00433308" w:rsidP="004333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433308" w:rsidRPr="00147036" w:rsidRDefault="00433308" w:rsidP="004333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47036">
              <w:rPr>
                <w:rFonts w:ascii="Times New Roman" w:hAnsi="Times New Roman" w:cs="Times New Roman"/>
                <w:sz w:val="18"/>
                <w:szCs w:val="18"/>
              </w:rPr>
              <w:t>44,4%</w:t>
            </w:r>
          </w:p>
        </w:tc>
      </w:tr>
      <w:tr w:rsidR="00433308" w:rsidRPr="00433308" w:rsidTr="00433308">
        <w:trPr>
          <w:trHeight w:val="390"/>
        </w:trPr>
        <w:tc>
          <w:tcPr>
            <w:cnfStyle w:val="001000000000" w:firstRow="0" w:lastRow="0" w:firstColumn="1" w:lastColumn="0" w:oddVBand="0" w:evenVBand="0" w:oddHBand="0" w:evenHBand="0" w:firstRowFirstColumn="0" w:firstRowLastColumn="0" w:lastRowFirstColumn="0" w:lastRowLastColumn="0"/>
            <w:tcW w:w="2401" w:type="dxa"/>
          </w:tcPr>
          <w:p w:rsidR="00433308" w:rsidRPr="00147036" w:rsidRDefault="00433308" w:rsidP="00433308">
            <w:pPr>
              <w:jc w:val="both"/>
              <w:rPr>
                <w:rFonts w:ascii="Times New Roman" w:hAnsi="Times New Roman" w:cs="Times New Roman"/>
                <w:sz w:val="18"/>
                <w:szCs w:val="18"/>
              </w:rPr>
            </w:pPr>
            <w:r w:rsidRPr="00147036">
              <w:rPr>
                <w:rFonts w:ascii="Times New Roman" w:hAnsi="Times New Roman" w:cs="Times New Roman"/>
                <w:sz w:val="18"/>
                <w:szCs w:val="18"/>
              </w:rPr>
              <w:t>Datoria de stat într-o anumită valută străină (% din total)</w:t>
            </w:r>
          </w:p>
        </w:tc>
        <w:tc>
          <w:tcPr>
            <w:tcW w:w="1138" w:type="dxa"/>
            <w:vAlign w:val="center"/>
          </w:tcPr>
          <w:p w:rsidR="00433308" w:rsidRPr="00147036" w:rsidRDefault="00433308" w:rsidP="004333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rsidR="00433308" w:rsidRPr="00147036" w:rsidRDefault="00433308" w:rsidP="004333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47036">
              <w:rPr>
                <w:rFonts w:ascii="Times New Roman" w:hAnsi="Times New Roman" w:cs="Times New Roman"/>
                <w:sz w:val="18"/>
                <w:szCs w:val="18"/>
              </w:rPr>
              <w:t>20-40%</w:t>
            </w:r>
          </w:p>
        </w:tc>
        <w:tc>
          <w:tcPr>
            <w:tcW w:w="1186" w:type="dxa"/>
            <w:vAlign w:val="center"/>
          </w:tcPr>
          <w:p w:rsidR="00433308" w:rsidRPr="00147036" w:rsidRDefault="00433308" w:rsidP="004333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rsidR="00433308" w:rsidRPr="00147036" w:rsidRDefault="00433308" w:rsidP="004333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47036">
              <w:rPr>
                <w:rFonts w:ascii="Times New Roman" w:hAnsi="Times New Roman" w:cs="Times New Roman"/>
                <w:sz w:val="18"/>
                <w:szCs w:val="18"/>
              </w:rPr>
              <w:t>31,4%</w:t>
            </w:r>
          </w:p>
        </w:tc>
      </w:tr>
      <w:tr w:rsidR="00433308" w:rsidRPr="00433308" w:rsidTr="00433308">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401" w:type="dxa"/>
          </w:tcPr>
          <w:p w:rsidR="00433308" w:rsidRPr="00147036" w:rsidRDefault="00433308" w:rsidP="00433308">
            <w:pPr>
              <w:jc w:val="both"/>
              <w:rPr>
                <w:rFonts w:ascii="Times New Roman" w:hAnsi="Times New Roman" w:cs="Times New Roman"/>
                <w:sz w:val="18"/>
                <w:szCs w:val="18"/>
              </w:rPr>
            </w:pPr>
            <w:r w:rsidRPr="00147036">
              <w:rPr>
                <w:rFonts w:ascii="Times New Roman" w:hAnsi="Times New Roman" w:cs="Times New Roman"/>
                <w:sz w:val="18"/>
                <w:szCs w:val="18"/>
              </w:rPr>
              <w:t>Datoria de stat cu rata dobânzii variabilă (% din total)</w:t>
            </w:r>
          </w:p>
        </w:tc>
        <w:tc>
          <w:tcPr>
            <w:tcW w:w="1138" w:type="dxa"/>
            <w:vAlign w:val="center"/>
          </w:tcPr>
          <w:p w:rsidR="00433308" w:rsidRPr="00147036" w:rsidRDefault="00433308" w:rsidP="004333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47036">
              <w:rPr>
                <w:rFonts w:ascii="Times New Roman" w:hAnsi="Times New Roman" w:cs="Times New Roman"/>
                <w:sz w:val="18"/>
                <w:szCs w:val="18"/>
              </w:rPr>
              <w:t>25-40%</w:t>
            </w:r>
          </w:p>
        </w:tc>
        <w:tc>
          <w:tcPr>
            <w:tcW w:w="1186" w:type="dxa"/>
            <w:vAlign w:val="center"/>
          </w:tcPr>
          <w:p w:rsidR="00433308" w:rsidRPr="00147036" w:rsidRDefault="00433308" w:rsidP="004333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47036">
              <w:rPr>
                <w:rFonts w:ascii="Times New Roman" w:hAnsi="Times New Roman" w:cs="Times New Roman"/>
                <w:sz w:val="18"/>
                <w:szCs w:val="18"/>
              </w:rPr>
              <w:t>31,4%</w:t>
            </w:r>
          </w:p>
        </w:tc>
      </w:tr>
      <w:tr w:rsidR="00433308" w:rsidRPr="00433308" w:rsidTr="00433308">
        <w:trPr>
          <w:trHeight w:val="401"/>
        </w:trPr>
        <w:tc>
          <w:tcPr>
            <w:cnfStyle w:val="001000000000" w:firstRow="0" w:lastRow="0" w:firstColumn="1" w:lastColumn="0" w:oddVBand="0" w:evenVBand="0" w:oddHBand="0" w:evenHBand="0" w:firstRowFirstColumn="0" w:firstRowLastColumn="0" w:lastRowFirstColumn="0" w:lastRowLastColumn="0"/>
            <w:tcW w:w="2401" w:type="dxa"/>
          </w:tcPr>
          <w:p w:rsidR="00433308" w:rsidRPr="00147036" w:rsidRDefault="00433308" w:rsidP="00433308">
            <w:pPr>
              <w:jc w:val="both"/>
              <w:rPr>
                <w:rFonts w:ascii="Times New Roman" w:hAnsi="Times New Roman" w:cs="Times New Roman"/>
                <w:sz w:val="18"/>
                <w:szCs w:val="18"/>
              </w:rPr>
            </w:pPr>
            <w:r w:rsidRPr="00147036">
              <w:rPr>
                <w:rFonts w:ascii="Times New Roman" w:hAnsi="Times New Roman" w:cs="Times New Roman"/>
                <w:sz w:val="18"/>
                <w:szCs w:val="18"/>
              </w:rPr>
              <w:t>VMS emise pe piața primară scadente în decurs de un an (% din total)</w:t>
            </w:r>
          </w:p>
        </w:tc>
        <w:tc>
          <w:tcPr>
            <w:tcW w:w="1138" w:type="dxa"/>
            <w:vAlign w:val="center"/>
          </w:tcPr>
          <w:p w:rsidR="00433308" w:rsidRPr="00147036" w:rsidRDefault="00433308" w:rsidP="004333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47036">
              <w:rPr>
                <w:rFonts w:ascii="Times New Roman" w:hAnsi="Times New Roman" w:cs="Times New Roman"/>
                <w:sz w:val="18"/>
                <w:szCs w:val="18"/>
              </w:rPr>
              <w:t>70-85%</w:t>
            </w:r>
          </w:p>
        </w:tc>
        <w:tc>
          <w:tcPr>
            <w:tcW w:w="1186" w:type="dxa"/>
            <w:vAlign w:val="center"/>
          </w:tcPr>
          <w:p w:rsidR="00433308" w:rsidRPr="00147036" w:rsidRDefault="00433308" w:rsidP="004333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47036">
              <w:rPr>
                <w:rFonts w:ascii="Times New Roman" w:hAnsi="Times New Roman" w:cs="Times New Roman"/>
                <w:sz w:val="18"/>
                <w:szCs w:val="18"/>
              </w:rPr>
              <w:t>73,3%</w:t>
            </w:r>
          </w:p>
        </w:tc>
      </w:tr>
      <w:tr w:rsidR="00433308" w:rsidRPr="00433308" w:rsidTr="00433308">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401" w:type="dxa"/>
          </w:tcPr>
          <w:p w:rsidR="00433308" w:rsidRPr="00147036" w:rsidRDefault="00433308" w:rsidP="00433308">
            <w:pPr>
              <w:jc w:val="both"/>
              <w:rPr>
                <w:rFonts w:ascii="Times New Roman" w:hAnsi="Times New Roman" w:cs="Times New Roman"/>
                <w:sz w:val="18"/>
                <w:szCs w:val="18"/>
              </w:rPr>
            </w:pPr>
            <w:r w:rsidRPr="00147036">
              <w:rPr>
                <w:rFonts w:ascii="Times New Roman" w:hAnsi="Times New Roman" w:cs="Times New Roman"/>
                <w:sz w:val="18"/>
                <w:szCs w:val="18"/>
              </w:rPr>
              <w:t>Perioada medie de maturitate pentru VMS emise pe piața primară</w:t>
            </w:r>
          </w:p>
        </w:tc>
        <w:tc>
          <w:tcPr>
            <w:tcW w:w="1138" w:type="dxa"/>
            <w:vAlign w:val="center"/>
          </w:tcPr>
          <w:p w:rsidR="00433308" w:rsidRPr="00147036" w:rsidRDefault="00433308" w:rsidP="004333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47036">
              <w:rPr>
                <w:rFonts w:ascii="Times New Roman" w:hAnsi="Times New Roman" w:cs="Times New Roman"/>
                <w:sz w:val="18"/>
                <w:szCs w:val="18"/>
              </w:rPr>
              <w:t>1,2-2</w:t>
            </w:r>
          </w:p>
        </w:tc>
        <w:tc>
          <w:tcPr>
            <w:tcW w:w="1186" w:type="dxa"/>
            <w:vAlign w:val="center"/>
          </w:tcPr>
          <w:p w:rsidR="00433308" w:rsidRPr="00147036" w:rsidRDefault="00433308" w:rsidP="0043330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147036">
              <w:rPr>
                <w:rFonts w:ascii="Times New Roman" w:hAnsi="Times New Roman" w:cs="Times New Roman"/>
                <w:sz w:val="18"/>
                <w:szCs w:val="18"/>
              </w:rPr>
              <w:t>1,5</w:t>
            </w:r>
          </w:p>
        </w:tc>
      </w:tr>
    </w:tbl>
    <w:p w:rsidR="00433308" w:rsidRPr="00433308" w:rsidRDefault="00433308" w:rsidP="00433308">
      <w:pPr>
        <w:jc w:val="both"/>
        <w:rPr>
          <w:b/>
          <w:sz w:val="24"/>
          <w:szCs w:val="24"/>
          <w:u w:val="single"/>
        </w:rPr>
      </w:pPr>
    </w:p>
    <w:p w:rsidR="00433308" w:rsidRPr="00433308" w:rsidRDefault="00433308" w:rsidP="00433308"/>
    <w:p w:rsidR="00433308" w:rsidRPr="00433308" w:rsidRDefault="00433308" w:rsidP="00433308">
      <w:pPr>
        <w:jc w:val="both"/>
        <w:rPr>
          <w:b/>
          <w:sz w:val="24"/>
          <w:szCs w:val="24"/>
        </w:rPr>
      </w:pPr>
      <w:r w:rsidRPr="00433308">
        <w:rPr>
          <w:b/>
          <w:sz w:val="24"/>
          <w:szCs w:val="24"/>
        </w:rPr>
        <w:t>Datoria de stat administrată de Guvern</w:t>
      </w:r>
    </w:p>
    <w:p w:rsidR="00433308" w:rsidRPr="00433308" w:rsidRDefault="00433308" w:rsidP="00433308">
      <w:pPr>
        <w:rPr>
          <w:u w:val="single"/>
        </w:rPr>
      </w:pPr>
    </w:p>
    <w:p w:rsidR="00433308" w:rsidRPr="00433308" w:rsidRDefault="00433308" w:rsidP="00433308">
      <w:pPr>
        <w:jc w:val="both"/>
        <w:rPr>
          <w:sz w:val="24"/>
          <w:szCs w:val="24"/>
        </w:rPr>
      </w:pPr>
      <w:r w:rsidRPr="00433308">
        <w:rPr>
          <w:b/>
          <w:bCs/>
          <w:sz w:val="24"/>
          <w:szCs w:val="24"/>
        </w:rPr>
        <w:t>Datoria de stat (internă şi externă)</w:t>
      </w:r>
      <w:r w:rsidRPr="00433308">
        <w:rPr>
          <w:b/>
          <w:sz w:val="24"/>
          <w:szCs w:val="24"/>
        </w:rPr>
        <w:t xml:space="preserve"> administrată de Guvern a însumat circa 52,2 </w:t>
      </w:r>
      <w:proofErr w:type="spellStart"/>
      <w:r w:rsidRPr="00433308">
        <w:rPr>
          <w:b/>
          <w:sz w:val="24"/>
          <w:szCs w:val="24"/>
        </w:rPr>
        <w:t>mild.lei</w:t>
      </w:r>
      <w:proofErr w:type="spellEnd"/>
      <w:r w:rsidRPr="00433308">
        <w:rPr>
          <w:sz w:val="24"/>
          <w:szCs w:val="24"/>
        </w:rPr>
        <w:t xml:space="preserve"> la </w:t>
      </w:r>
      <w:proofErr w:type="spellStart"/>
      <w:r w:rsidRPr="00433308">
        <w:rPr>
          <w:sz w:val="24"/>
          <w:szCs w:val="24"/>
        </w:rPr>
        <w:t>sfîrşitul</w:t>
      </w:r>
      <w:proofErr w:type="spellEnd"/>
      <w:r w:rsidRPr="00433308">
        <w:rPr>
          <w:sz w:val="24"/>
          <w:szCs w:val="24"/>
        </w:rPr>
        <w:t xml:space="preserve"> lunii ianuarie 2019, fiind în creștere cu 0,9% faţă de </w:t>
      </w:r>
      <w:proofErr w:type="spellStart"/>
      <w:r w:rsidRPr="00433308">
        <w:rPr>
          <w:sz w:val="24"/>
          <w:szCs w:val="24"/>
        </w:rPr>
        <w:t>aceeaşi</w:t>
      </w:r>
      <w:proofErr w:type="spellEnd"/>
      <w:r w:rsidRPr="00433308">
        <w:rPr>
          <w:sz w:val="24"/>
          <w:szCs w:val="24"/>
        </w:rPr>
        <w:t xml:space="preserve"> dată a anului 2018. În structura totală a datoriei de stat, datoria internă are o pondere de 44,4% și, respectiv, datoria externă – 55,6%.</w:t>
      </w:r>
      <w:r w:rsidRPr="00433308">
        <w:rPr>
          <w:b/>
          <w:sz w:val="24"/>
          <w:szCs w:val="24"/>
        </w:rPr>
        <w:t xml:space="preserve"> </w:t>
      </w:r>
      <w:r w:rsidRPr="00433308">
        <w:rPr>
          <w:sz w:val="24"/>
          <w:szCs w:val="24"/>
        </w:rPr>
        <w:t>Nivelul de îndatorare a țării, deși pare destul de înalt, se încadrează în parametrii de risc stipulați în Programul Managementul datoriei de stat pe termen mediu (2019-2021).</w:t>
      </w:r>
    </w:p>
    <w:p w:rsidR="00433308" w:rsidRPr="00433308" w:rsidRDefault="00433308" w:rsidP="00433308">
      <w:pPr>
        <w:jc w:val="both"/>
        <w:rPr>
          <w:sz w:val="24"/>
          <w:szCs w:val="24"/>
          <w:u w:val="single"/>
        </w:rPr>
      </w:pPr>
    </w:p>
    <w:p w:rsidR="00433308" w:rsidRPr="00433308" w:rsidRDefault="00433308" w:rsidP="00433308">
      <w:pPr>
        <w:jc w:val="both"/>
        <w:rPr>
          <w:sz w:val="24"/>
          <w:szCs w:val="24"/>
          <w:u w:val="single"/>
        </w:rPr>
      </w:pPr>
    </w:p>
    <w:p w:rsidR="00433308" w:rsidRPr="00433308" w:rsidRDefault="00433308" w:rsidP="00433308">
      <w:pPr>
        <w:jc w:val="both"/>
        <w:rPr>
          <w:sz w:val="24"/>
          <w:szCs w:val="24"/>
          <w:u w:val="single"/>
        </w:rPr>
      </w:pPr>
    </w:p>
    <w:p w:rsidR="00433308" w:rsidRPr="00433308" w:rsidRDefault="00433308" w:rsidP="00433308">
      <w:pPr>
        <w:rPr>
          <w:i/>
          <w:iCs/>
          <w:u w:val="single"/>
        </w:rPr>
      </w:pPr>
    </w:p>
    <w:p w:rsidR="00433308" w:rsidRPr="00433308" w:rsidRDefault="00433308" w:rsidP="00433308">
      <w:pPr>
        <w:jc w:val="both"/>
        <w:rPr>
          <w:i/>
          <w:iCs/>
          <w:u w:val="single"/>
        </w:rPr>
      </w:pPr>
    </w:p>
    <w:p w:rsidR="00433308" w:rsidRPr="00433308" w:rsidRDefault="00433308" w:rsidP="00433308">
      <w:pPr>
        <w:jc w:val="both"/>
        <w:rPr>
          <w:sz w:val="24"/>
          <w:szCs w:val="24"/>
        </w:rPr>
      </w:pPr>
      <w:r w:rsidRPr="00433308">
        <w:rPr>
          <w:noProof/>
          <w:lang w:val="en-US" w:eastAsia="en-US"/>
        </w:rPr>
        <w:lastRenderedPageBreak/>
        <w:drawing>
          <wp:anchor distT="0" distB="0" distL="114300" distR="114300" simplePos="0" relativeHeight="251721216" behindDoc="0" locked="0" layoutInCell="1" allowOverlap="1" wp14:anchorId="68BBC35D" wp14:editId="0642ABA4">
            <wp:simplePos x="0" y="0"/>
            <wp:positionH relativeFrom="column">
              <wp:posOffset>1905</wp:posOffset>
            </wp:positionH>
            <wp:positionV relativeFrom="paragraph">
              <wp:posOffset>-635</wp:posOffset>
            </wp:positionV>
            <wp:extent cx="3055620" cy="3227070"/>
            <wp:effectExtent l="0" t="0" r="11430" b="1143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Pr="00433308">
        <w:rPr>
          <w:b/>
          <w:i/>
          <w:sz w:val="24"/>
          <w:szCs w:val="24"/>
        </w:rPr>
        <w:t>Datoria de stat internă</w:t>
      </w:r>
      <w:r w:rsidRPr="00433308">
        <w:rPr>
          <w:sz w:val="24"/>
          <w:szCs w:val="24"/>
        </w:rPr>
        <w:t xml:space="preserve"> este o parte integrantă a datoriei de stat și reprezintă </w:t>
      </w:r>
      <w:proofErr w:type="spellStart"/>
      <w:r w:rsidRPr="00433308">
        <w:rPr>
          <w:sz w:val="24"/>
          <w:szCs w:val="24"/>
        </w:rPr>
        <w:t>obligaţiile</w:t>
      </w:r>
      <w:proofErr w:type="spellEnd"/>
      <w:r w:rsidRPr="00433308">
        <w:rPr>
          <w:sz w:val="24"/>
          <w:szCs w:val="24"/>
        </w:rPr>
        <w:t xml:space="preserve"> neonorate şi </w:t>
      </w:r>
      <w:proofErr w:type="spellStart"/>
      <w:r w:rsidRPr="00433308">
        <w:rPr>
          <w:sz w:val="24"/>
          <w:szCs w:val="24"/>
        </w:rPr>
        <w:t>dobînzile</w:t>
      </w:r>
      <w:proofErr w:type="spellEnd"/>
      <w:r w:rsidRPr="00433308">
        <w:rPr>
          <w:sz w:val="24"/>
          <w:szCs w:val="24"/>
        </w:rPr>
        <w:t xml:space="preserve"> datorate şi neonorate, contractate în numele Republicii Moldova de Guvern, prin intermediul Ministerului Finanţelor, de la </w:t>
      </w:r>
      <w:proofErr w:type="spellStart"/>
      <w:r w:rsidRPr="00433308">
        <w:rPr>
          <w:sz w:val="24"/>
          <w:szCs w:val="24"/>
        </w:rPr>
        <w:t>rezidenţii</w:t>
      </w:r>
      <w:proofErr w:type="spellEnd"/>
      <w:r w:rsidRPr="00433308">
        <w:rPr>
          <w:sz w:val="24"/>
          <w:szCs w:val="24"/>
        </w:rPr>
        <w:t xml:space="preserve"> Republicii Moldova. Ponderea datoriei de stat interne în total datoria de stat are o tendință de creștere în ultimii ani (de la 21,3% la </w:t>
      </w:r>
      <w:proofErr w:type="spellStart"/>
      <w:r w:rsidRPr="00433308">
        <w:rPr>
          <w:sz w:val="24"/>
          <w:szCs w:val="24"/>
        </w:rPr>
        <w:t>sfîrșitul</w:t>
      </w:r>
      <w:proofErr w:type="spellEnd"/>
      <w:r w:rsidRPr="00433308">
        <w:rPr>
          <w:sz w:val="24"/>
          <w:szCs w:val="24"/>
        </w:rPr>
        <w:t xml:space="preserve"> lunii ianuarie 2016 la 44,4% la </w:t>
      </w:r>
      <w:proofErr w:type="spellStart"/>
      <w:r w:rsidRPr="00433308">
        <w:rPr>
          <w:sz w:val="24"/>
          <w:szCs w:val="24"/>
        </w:rPr>
        <w:t>sfîrșitul</w:t>
      </w:r>
      <w:proofErr w:type="spellEnd"/>
      <w:r w:rsidRPr="00433308">
        <w:rPr>
          <w:sz w:val="24"/>
          <w:szCs w:val="24"/>
        </w:rPr>
        <w:t xml:space="preserve"> lunii ianuarie 2019). În același timp, politica statului de a da preferință împrumuturilor pe piața locală decît pe piața externă pare să fie mai adecvată, ținînd cont de faptul că dependența și vulnerabilitatea țării noastre față de mediul extern este accentuată.</w:t>
      </w:r>
    </w:p>
    <w:p w:rsidR="00433308" w:rsidRPr="00433308" w:rsidRDefault="00433308" w:rsidP="00433308">
      <w:pPr>
        <w:jc w:val="both"/>
        <w:rPr>
          <w:sz w:val="24"/>
          <w:szCs w:val="24"/>
          <w:u w:val="single"/>
        </w:rPr>
      </w:pPr>
    </w:p>
    <w:p w:rsidR="00433308" w:rsidRPr="00433308" w:rsidRDefault="00433308" w:rsidP="00433308">
      <w:pPr>
        <w:jc w:val="both"/>
        <w:rPr>
          <w:sz w:val="24"/>
          <w:szCs w:val="24"/>
        </w:rPr>
      </w:pPr>
      <w:r w:rsidRPr="00433308">
        <w:rPr>
          <w:sz w:val="24"/>
          <w:szCs w:val="24"/>
        </w:rPr>
        <w:t xml:space="preserve">Totuși, este de menționat că datoria de stat internă s-a majorat față de situația de la </w:t>
      </w:r>
      <w:proofErr w:type="spellStart"/>
      <w:r w:rsidRPr="00433308">
        <w:rPr>
          <w:sz w:val="24"/>
          <w:szCs w:val="24"/>
        </w:rPr>
        <w:t>sfîrșitul</w:t>
      </w:r>
      <w:proofErr w:type="spellEnd"/>
      <w:r w:rsidRPr="00433308">
        <w:rPr>
          <w:sz w:val="24"/>
          <w:szCs w:val="24"/>
        </w:rPr>
        <w:t xml:space="preserve"> lunii ianuarie 2018 cu 2,6%. Situația respectivă s-a produs din contul majorării emisiunii valorilor mobiliare de stat (VMS) pe piaţa primară. O creștere atît de neesențială ne permite să concluzionăm o oarecare stabilitate la capitolul datoriei interne.</w:t>
      </w:r>
    </w:p>
    <w:p w:rsidR="00433308" w:rsidRPr="00433308" w:rsidRDefault="00433308" w:rsidP="00433308">
      <w:pPr>
        <w:jc w:val="both"/>
        <w:rPr>
          <w:sz w:val="24"/>
          <w:szCs w:val="24"/>
          <w:u w:val="single"/>
        </w:rPr>
      </w:pPr>
    </w:p>
    <w:p w:rsidR="00433308" w:rsidRPr="00433308" w:rsidRDefault="00433308" w:rsidP="00433308">
      <w:pPr>
        <w:jc w:val="both"/>
        <w:rPr>
          <w:sz w:val="24"/>
          <w:szCs w:val="24"/>
        </w:rPr>
      </w:pPr>
      <w:r w:rsidRPr="00433308">
        <w:rPr>
          <w:noProof/>
          <w:lang w:val="en-US" w:eastAsia="en-US"/>
        </w:rPr>
        <w:drawing>
          <wp:anchor distT="0" distB="0" distL="114300" distR="114300" simplePos="0" relativeHeight="251722240" behindDoc="0" locked="0" layoutInCell="1" allowOverlap="1" wp14:anchorId="46BF78C9" wp14:editId="3A89986D">
            <wp:simplePos x="0" y="0"/>
            <wp:positionH relativeFrom="column">
              <wp:posOffset>1905</wp:posOffset>
            </wp:positionH>
            <wp:positionV relativeFrom="paragraph">
              <wp:posOffset>0</wp:posOffset>
            </wp:positionV>
            <wp:extent cx="3101340" cy="3329940"/>
            <wp:effectExtent l="0" t="0" r="3810" b="3810"/>
            <wp:wrapThrough wrapText="bothSides">
              <wp:wrapPolygon edited="0">
                <wp:start x="133" y="0"/>
                <wp:lineTo x="0" y="371"/>
                <wp:lineTo x="0" y="21254"/>
                <wp:lineTo x="133" y="21501"/>
                <wp:lineTo x="21361" y="21501"/>
                <wp:lineTo x="21494" y="21254"/>
                <wp:lineTo x="21494" y="371"/>
                <wp:lineTo x="21361" y="0"/>
                <wp:lineTo x="133" y="0"/>
              </wp:wrapPolygon>
            </wp:wrapThrough>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Pr="00433308">
        <w:rPr>
          <w:sz w:val="24"/>
          <w:szCs w:val="24"/>
        </w:rPr>
        <w:t xml:space="preserve">Stocul </w:t>
      </w:r>
      <w:r w:rsidRPr="00433308">
        <w:rPr>
          <w:bCs/>
          <w:iCs/>
          <w:sz w:val="24"/>
          <w:szCs w:val="24"/>
        </w:rPr>
        <w:t>datoriei de stat interne</w:t>
      </w:r>
      <w:r w:rsidRPr="00433308">
        <w:rPr>
          <w:b/>
          <w:bCs/>
          <w:i/>
          <w:iCs/>
          <w:sz w:val="24"/>
          <w:szCs w:val="24"/>
        </w:rPr>
        <w:t xml:space="preserve"> </w:t>
      </w:r>
      <w:r w:rsidRPr="00433308">
        <w:rPr>
          <w:sz w:val="24"/>
          <w:szCs w:val="24"/>
        </w:rPr>
        <w:t xml:space="preserve">este complet format din VMS, volumul cărora a constituit circa 23,2 </w:t>
      </w:r>
      <w:proofErr w:type="spellStart"/>
      <w:r w:rsidRPr="00433308">
        <w:rPr>
          <w:sz w:val="24"/>
          <w:szCs w:val="24"/>
        </w:rPr>
        <w:t>mild.lei</w:t>
      </w:r>
      <w:proofErr w:type="spellEnd"/>
      <w:r w:rsidRPr="00433308">
        <w:rPr>
          <w:sz w:val="24"/>
          <w:szCs w:val="24"/>
        </w:rPr>
        <w:t xml:space="preserve"> la preţul de cumpărare, inclusiv: VMS emise pe piaţa primară – 8,1 </w:t>
      </w:r>
      <w:proofErr w:type="spellStart"/>
      <w:r w:rsidRPr="00433308">
        <w:rPr>
          <w:sz w:val="24"/>
          <w:szCs w:val="24"/>
        </w:rPr>
        <w:t>mild.lei</w:t>
      </w:r>
      <w:proofErr w:type="spellEnd"/>
      <w:r w:rsidRPr="00433308">
        <w:rPr>
          <w:sz w:val="24"/>
          <w:szCs w:val="24"/>
        </w:rPr>
        <w:t xml:space="preserve"> (în creștere cu 10,9%), VMS convertite (datoria de stat internă contractată anterior de la BNM convertită în VMS) – 2063,4 mil. lei (la nivelul situației similare a anului 2017) și VMS emise pentru executarea garanției de stat – 13,1 </w:t>
      </w:r>
      <w:proofErr w:type="spellStart"/>
      <w:r w:rsidRPr="00433308">
        <w:rPr>
          <w:sz w:val="24"/>
          <w:szCs w:val="24"/>
        </w:rPr>
        <w:t>mild.lei</w:t>
      </w:r>
      <w:proofErr w:type="spellEnd"/>
      <w:r w:rsidRPr="00433308">
        <w:rPr>
          <w:sz w:val="24"/>
          <w:szCs w:val="24"/>
        </w:rPr>
        <w:t xml:space="preserve"> (față de situația similară a anului trecut denotă o diminuare cu 210 mil.lei, ca rezultat al executării </w:t>
      </w:r>
      <w:proofErr w:type="spellStart"/>
      <w:r w:rsidRPr="00433308">
        <w:rPr>
          <w:sz w:val="24"/>
          <w:szCs w:val="24"/>
        </w:rPr>
        <w:t>obligaţiilor</w:t>
      </w:r>
      <w:proofErr w:type="spellEnd"/>
      <w:r w:rsidRPr="00433308">
        <w:rPr>
          <w:sz w:val="24"/>
          <w:szCs w:val="24"/>
        </w:rPr>
        <w:t xml:space="preserve"> de plată derivate din </w:t>
      </w:r>
      <w:proofErr w:type="spellStart"/>
      <w:r w:rsidRPr="00433308">
        <w:rPr>
          <w:sz w:val="24"/>
          <w:szCs w:val="24"/>
        </w:rPr>
        <w:t>garanţiile</w:t>
      </w:r>
      <w:proofErr w:type="spellEnd"/>
      <w:r w:rsidRPr="00433308">
        <w:rPr>
          <w:sz w:val="24"/>
          <w:szCs w:val="24"/>
        </w:rPr>
        <w:t xml:space="preserve"> de stat). VMS emise pentru executarea garanției de stat au intrat în componența datoriei de stat interne în luna octombrie 2016, cînd soldul s-a majorat brusc cu 13,3 mil.lei. </w:t>
      </w:r>
    </w:p>
    <w:p w:rsidR="00433308" w:rsidRPr="00433308" w:rsidRDefault="00433308" w:rsidP="00433308">
      <w:pPr>
        <w:jc w:val="both"/>
        <w:rPr>
          <w:sz w:val="24"/>
          <w:szCs w:val="24"/>
          <w:u w:val="single"/>
        </w:rPr>
      </w:pPr>
    </w:p>
    <w:p w:rsidR="00433308" w:rsidRPr="00433308" w:rsidRDefault="00433308" w:rsidP="00433308">
      <w:pPr>
        <w:jc w:val="both"/>
        <w:rPr>
          <w:sz w:val="24"/>
          <w:szCs w:val="24"/>
        </w:rPr>
      </w:pPr>
      <w:r w:rsidRPr="00433308">
        <w:rPr>
          <w:sz w:val="24"/>
          <w:szCs w:val="24"/>
        </w:rPr>
        <w:t xml:space="preserve">Valorile mobiliare de stat cu </w:t>
      </w:r>
      <w:proofErr w:type="spellStart"/>
      <w:r w:rsidRPr="00433308">
        <w:rPr>
          <w:sz w:val="24"/>
          <w:szCs w:val="24"/>
        </w:rPr>
        <w:t>scadenţă</w:t>
      </w:r>
      <w:proofErr w:type="spellEnd"/>
      <w:r w:rsidRPr="00433308">
        <w:rPr>
          <w:sz w:val="24"/>
          <w:szCs w:val="24"/>
        </w:rPr>
        <w:t xml:space="preserve"> pînă la un an au fost emise pe trei termene: bonuri de trezorerie de 91, 182 și 364 zile, ponderea acestora în totalul VMS comercializate fiind de circa 88,3%. Majoritatea VMS au fost emise pe termen de 364 zile (40,2%), 182 zile (31,2%) și 91 zile (16,9%). Scadența scurtă a titlurilor de stat crește riscul de refinanțare a datoriei, </w:t>
      </w:r>
      <w:proofErr w:type="spellStart"/>
      <w:r w:rsidRPr="00433308">
        <w:rPr>
          <w:sz w:val="24"/>
          <w:szCs w:val="24"/>
        </w:rPr>
        <w:t>punînd</w:t>
      </w:r>
      <w:proofErr w:type="spellEnd"/>
      <w:r w:rsidRPr="00433308">
        <w:rPr>
          <w:sz w:val="24"/>
          <w:szCs w:val="24"/>
        </w:rPr>
        <w:t xml:space="preserve"> un impediment considerabil în calea implementării unor proiecte investiționale pe termen lung. Se observă creșterea ponderii VMS acordate pe 364 zile cu 2,8 p.p.</w:t>
      </w:r>
    </w:p>
    <w:p w:rsidR="00433308" w:rsidRPr="00433308" w:rsidRDefault="00433308" w:rsidP="00433308">
      <w:pPr>
        <w:jc w:val="both"/>
        <w:rPr>
          <w:sz w:val="24"/>
          <w:szCs w:val="24"/>
          <w:u w:val="single"/>
        </w:rPr>
      </w:pPr>
    </w:p>
    <w:p w:rsidR="00433308" w:rsidRPr="00433308" w:rsidRDefault="00433308" w:rsidP="00433308">
      <w:pPr>
        <w:jc w:val="both"/>
        <w:rPr>
          <w:sz w:val="24"/>
          <w:szCs w:val="24"/>
        </w:rPr>
      </w:pPr>
      <w:r w:rsidRPr="00433308">
        <w:rPr>
          <w:sz w:val="24"/>
          <w:szCs w:val="24"/>
        </w:rPr>
        <w:t xml:space="preserve">În anul 2018 au fost emise, pentru prima dată în istorie, Obligațiuni de stat cu scadența de 5 ani, care dețin numai 1,4% din volumul total. Ministerul Finanțelor va utiliza deja acest instrument cu regularitate. Datorită obligațiunilor de stat de 5 ani, acum există un nou instrument financiar disponibil pentru investitori. În plus, Republica Moldova a făcut un prim pas decisiv pentru dezvoltarea pieței VMS, care este un element important pentru dezvoltarea pieței de capital. </w:t>
      </w:r>
    </w:p>
    <w:p w:rsidR="00433308" w:rsidRPr="00433308" w:rsidRDefault="00433308" w:rsidP="00433308">
      <w:pPr>
        <w:jc w:val="both"/>
        <w:rPr>
          <w:sz w:val="24"/>
          <w:szCs w:val="24"/>
          <w:u w:val="single"/>
        </w:rPr>
      </w:pPr>
    </w:p>
    <w:p w:rsidR="00433308" w:rsidRPr="00433308" w:rsidRDefault="00433308" w:rsidP="00433308">
      <w:pPr>
        <w:jc w:val="both"/>
        <w:rPr>
          <w:sz w:val="24"/>
          <w:szCs w:val="24"/>
          <w:u w:val="single"/>
        </w:rPr>
      </w:pPr>
    </w:p>
    <w:p w:rsidR="00433308" w:rsidRPr="00433308" w:rsidRDefault="00433308" w:rsidP="00433308">
      <w:pPr>
        <w:jc w:val="center"/>
        <w:rPr>
          <w:b/>
          <w:i/>
          <w:sz w:val="24"/>
          <w:szCs w:val="24"/>
        </w:rPr>
      </w:pPr>
      <w:r w:rsidRPr="00433308">
        <w:rPr>
          <w:b/>
          <w:i/>
          <w:sz w:val="24"/>
          <w:szCs w:val="24"/>
        </w:rPr>
        <w:lastRenderedPageBreak/>
        <w:t>Structura valorilor mobiliare de stat conform situației de la 31 ianuarie 2019</w:t>
      </w:r>
    </w:p>
    <w:p w:rsidR="00433308" w:rsidRPr="00433308" w:rsidRDefault="00433308" w:rsidP="00433308">
      <w:pPr>
        <w:jc w:val="center"/>
        <w:rPr>
          <w:b/>
          <w:i/>
          <w:sz w:val="24"/>
          <w:szCs w:val="24"/>
          <w:u w:val="single"/>
        </w:rPr>
      </w:pPr>
    </w:p>
    <w:p w:rsidR="00433308" w:rsidRPr="00433308" w:rsidRDefault="00433308" w:rsidP="00433308">
      <w:pPr>
        <w:rPr>
          <w:sz w:val="24"/>
          <w:szCs w:val="24"/>
          <w:u w:val="single"/>
        </w:rPr>
      </w:pPr>
      <w:r w:rsidRPr="00433308">
        <w:rPr>
          <w:noProof/>
          <w:lang w:val="en-US" w:eastAsia="en-US"/>
        </w:rPr>
        <w:drawing>
          <wp:inline distT="0" distB="0" distL="0" distR="0" wp14:anchorId="4BA96C88" wp14:editId="3DB57C91">
            <wp:extent cx="3017520" cy="2644140"/>
            <wp:effectExtent l="0" t="0" r="0" b="381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433308">
        <w:rPr>
          <w:i/>
        </w:rPr>
        <w:t xml:space="preserve">     </w:t>
      </w:r>
      <w:r w:rsidRPr="00433308">
        <w:rPr>
          <w:noProof/>
          <w:lang w:val="en-US" w:eastAsia="en-US"/>
        </w:rPr>
        <w:t xml:space="preserve"> </w:t>
      </w:r>
      <w:r w:rsidRPr="00433308">
        <w:rPr>
          <w:noProof/>
          <w:lang w:val="en-US" w:eastAsia="en-US"/>
        </w:rPr>
        <w:drawing>
          <wp:inline distT="0" distB="0" distL="0" distR="0" wp14:anchorId="76789460" wp14:editId="0AE10E94">
            <wp:extent cx="2857500" cy="2598420"/>
            <wp:effectExtent l="0" t="0" r="0" b="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33308" w:rsidRPr="00433308" w:rsidRDefault="00433308" w:rsidP="00433308">
      <w:pPr>
        <w:jc w:val="both"/>
        <w:rPr>
          <w:i/>
        </w:rPr>
      </w:pPr>
      <w:r w:rsidRPr="00433308">
        <w:rPr>
          <w:i/>
        </w:rPr>
        <w:t xml:space="preserve"> Sursă: Ministerul Finanțelor</w:t>
      </w:r>
    </w:p>
    <w:p w:rsidR="00433308" w:rsidRPr="00433308" w:rsidRDefault="00433308" w:rsidP="00433308">
      <w:pPr>
        <w:jc w:val="both"/>
        <w:rPr>
          <w:sz w:val="24"/>
          <w:szCs w:val="24"/>
          <w:u w:val="single"/>
        </w:rPr>
      </w:pPr>
    </w:p>
    <w:p w:rsidR="00433308" w:rsidRPr="00433308" w:rsidRDefault="00433308" w:rsidP="00433308">
      <w:pPr>
        <w:jc w:val="both"/>
        <w:rPr>
          <w:sz w:val="24"/>
          <w:szCs w:val="24"/>
        </w:rPr>
      </w:pPr>
      <w:r w:rsidRPr="00433308">
        <w:rPr>
          <w:sz w:val="24"/>
          <w:szCs w:val="24"/>
        </w:rPr>
        <w:t xml:space="preserve">Piața VMS este în continuare dominată de băncile comerciale (circa 77%), care au în prezent lichidități în exces.  Restul investitorilor sunt în continuare slab dezvoltați și neinițiați în investițiile în titluri de stat (nivelul jos de educație financiară a populației și lipsa de cunoștință cu privire la posibilitățile și avantajele investițiilor în instrumentul respectiv). </w:t>
      </w:r>
    </w:p>
    <w:p w:rsidR="00433308" w:rsidRPr="00433308" w:rsidRDefault="00433308" w:rsidP="00433308">
      <w:pPr>
        <w:jc w:val="both"/>
        <w:rPr>
          <w:sz w:val="24"/>
          <w:szCs w:val="24"/>
          <w:u w:val="single"/>
        </w:rPr>
      </w:pPr>
    </w:p>
    <w:p w:rsidR="00433308" w:rsidRPr="00433308" w:rsidRDefault="00433308" w:rsidP="00433308">
      <w:pPr>
        <w:jc w:val="both"/>
        <w:rPr>
          <w:sz w:val="24"/>
          <w:szCs w:val="24"/>
        </w:rPr>
      </w:pPr>
      <w:r w:rsidRPr="00433308">
        <w:rPr>
          <w:sz w:val="24"/>
          <w:szCs w:val="24"/>
        </w:rPr>
        <w:t xml:space="preserve">Rata medie a </w:t>
      </w:r>
      <w:proofErr w:type="spellStart"/>
      <w:r w:rsidRPr="00433308">
        <w:rPr>
          <w:sz w:val="24"/>
          <w:szCs w:val="24"/>
        </w:rPr>
        <w:t>dobînzii</w:t>
      </w:r>
      <w:proofErr w:type="spellEnd"/>
      <w:r w:rsidRPr="00433308">
        <w:rPr>
          <w:sz w:val="24"/>
          <w:szCs w:val="24"/>
        </w:rPr>
        <w:t xml:space="preserve"> la VMS realizate prin </w:t>
      </w:r>
      <w:proofErr w:type="spellStart"/>
      <w:r w:rsidRPr="00433308">
        <w:rPr>
          <w:sz w:val="24"/>
          <w:szCs w:val="24"/>
        </w:rPr>
        <w:t>licitaţie</w:t>
      </w:r>
      <w:proofErr w:type="spellEnd"/>
      <w:r w:rsidRPr="00433308">
        <w:rPr>
          <w:sz w:val="24"/>
          <w:szCs w:val="24"/>
        </w:rPr>
        <w:t xml:space="preserve"> în luna ianuarie 2019 a fost de circa 6,13% (cu 0,4 p.p. sub nivelul lunii ianuarie 2018). Rata </w:t>
      </w:r>
      <w:proofErr w:type="spellStart"/>
      <w:r w:rsidRPr="00433308">
        <w:rPr>
          <w:sz w:val="24"/>
          <w:szCs w:val="24"/>
        </w:rPr>
        <w:t>dobînzii</w:t>
      </w:r>
      <w:proofErr w:type="spellEnd"/>
      <w:r w:rsidRPr="00433308">
        <w:rPr>
          <w:sz w:val="24"/>
          <w:szCs w:val="24"/>
        </w:rPr>
        <w:t xml:space="preserve"> la VMS, la fel ca și rata </w:t>
      </w:r>
      <w:proofErr w:type="spellStart"/>
      <w:r w:rsidRPr="00433308">
        <w:rPr>
          <w:sz w:val="24"/>
          <w:szCs w:val="24"/>
        </w:rPr>
        <w:t>dobînzii</w:t>
      </w:r>
      <w:proofErr w:type="spellEnd"/>
      <w:r w:rsidRPr="00433308">
        <w:rPr>
          <w:sz w:val="24"/>
          <w:szCs w:val="24"/>
        </w:rPr>
        <w:t xml:space="preserve"> la depozite și credite, sunt corelate cu rata de bază a BNM, care este stabilită în funcție de conjunctura pieţelor monetară şi valutară, situaţia în economia naţională, dinamica proceselor </w:t>
      </w:r>
      <w:proofErr w:type="spellStart"/>
      <w:r w:rsidRPr="00433308">
        <w:rPr>
          <w:sz w:val="24"/>
          <w:szCs w:val="24"/>
        </w:rPr>
        <w:t>inflaţioniste</w:t>
      </w:r>
      <w:proofErr w:type="spellEnd"/>
      <w:r w:rsidRPr="00433308">
        <w:rPr>
          <w:sz w:val="24"/>
          <w:szCs w:val="24"/>
        </w:rPr>
        <w:t xml:space="preserve"> şi </w:t>
      </w:r>
      <w:proofErr w:type="spellStart"/>
      <w:r w:rsidRPr="00433308">
        <w:rPr>
          <w:sz w:val="24"/>
          <w:szCs w:val="24"/>
        </w:rPr>
        <w:t>aşteptările</w:t>
      </w:r>
      <w:proofErr w:type="spellEnd"/>
      <w:r w:rsidRPr="00433308">
        <w:rPr>
          <w:sz w:val="24"/>
          <w:szCs w:val="24"/>
        </w:rPr>
        <w:t xml:space="preserve"> prognozate ale indicatorilor macroeconomici. În același timp, se observă faptul că rata </w:t>
      </w:r>
      <w:proofErr w:type="spellStart"/>
      <w:r w:rsidRPr="00433308">
        <w:rPr>
          <w:sz w:val="24"/>
          <w:szCs w:val="24"/>
        </w:rPr>
        <w:t>dobînzii</w:t>
      </w:r>
      <w:proofErr w:type="spellEnd"/>
      <w:r w:rsidRPr="00433308">
        <w:rPr>
          <w:sz w:val="24"/>
          <w:szCs w:val="24"/>
        </w:rPr>
        <w:t xml:space="preserve"> la VMS este mai mare decît rata </w:t>
      </w:r>
      <w:proofErr w:type="spellStart"/>
      <w:r w:rsidRPr="00433308">
        <w:rPr>
          <w:sz w:val="24"/>
          <w:szCs w:val="24"/>
        </w:rPr>
        <w:t>dobînzii</w:t>
      </w:r>
      <w:proofErr w:type="spellEnd"/>
      <w:r w:rsidRPr="00433308">
        <w:rPr>
          <w:sz w:val="24"/>
          <w:szCs w:val="24"/>
        </w:rPr>
        <w:t xml:space="preserve"> la depozitele în monedă națională - principalele instrumente de investiții concurente. Constatarea respectivă determină alegerea investitorilor de a-și plasa lichiditățile în instrumente mai rentabile, cu o </w:t>
      </w:r>
      <w:proofErr w:type="spellStart"/>
      <w:r w:rsidRPr="00433308">
        <w:rPr>
          <w:sz w:val="24"/>
          <w:szCs w:val="24"/>
        </w:rPr>
        <w:t>dobîndă</w:t>
      </w:r>
      <w:proofErr w:type="spellEnd"/>
      <w:r w:rsidRPr="00433308">
        <w:rPr>
          <w:sz w:val="24"/>
          <w:szCs w:val="24"/>
        </w:rPr>
        <w:t xml:space="preserve"> mai mare, respectiv, în VMS. </w:t>
      </w:r>
    </w:p>
    <w:p w:rsidR="00433308" w:rsidRPr="00433308" w:rsidRDefault="00433308" w:rsidP="00433308">
      <w:pPr>
        <w:jc w:val="both"/>
        <w:rPr>
          <w:sz w:val="24"/>
          <w:szCs w:val="24"/>
          <w:u w:val="single"/>
        </w:rPr>
      </w:pPr>
    </w:p>
    <w:p w:rsidR="00433308" w:rsidRPr="00433308" w:rsidRDefault="00433308" w:rsidP="00433308">
      <w:pPr>
        <w:jc w:val="both"/>
        <w:rPr>
          <w:sz w:val="24"/>
          <w:szCs w:val="24"/>
          <w:u w:val="single"/>
        </w:rPr>
      </w:pPr>
    </w:p>
    <w:p w:rsidR="00433308" w:rsidRPr="00433308" w:rsidRDefault="00433308" w:rsidP="00433308">
      <w:pPr>
        <w:jc w:val="center"/>
        <w:rPr>
          <w:b/>
          <w:i/>
          <w:sz w:val="24"/>
          <w:szCs w:val="24"/>
        </w:rPr>
      </w:pPr>
      <w:r w:rsidRPr="00433308">
        <w:rPr>
          <w:b/>
          <w:i/>
          <w:sz w:val="24"/>
          <w:szCs w:val="24"/>
        </w:rPr>
        <w:t xml:space="preserve">Evoluția lunară a ratelor </w:t>
      </w:r>
      <w:proofErr w:type="spellStart"/>
      <w:r w:rsidRPr="00433308">
        <w:rPr>
          <w:b/>
          <w:i/>
          <w:sz w:val="24"/>
          <w:szCs w:val="24"/>
        </w:rPr>
        <w:t>dobînzii</w:t>
      </w:r>
      <w:proofErr w:type="spellEnd"/>
      <w:r w:rsidRPr="00433308">
        <w:rPr>
          <w:b/>
          <w:i/>
          <w:sz w:val="24"/>
          <w:szCs w:val="24"/>
        </w:rPr>
        <w:t xml:space="preserve"> la VMS și depozitele în monedă națională, %</w:t>
      </w:r>
    </w:p>
    <w:p w:rsidR="00433308" w:rsidRPr="00433308" w:rsidRDefault="00433308" w:rsidP="00433308">
      <w:pPr>
        <w:jc w:val="center"/>
        <w:rPr>
          <w:sz w:val="24"/>
          <w:szCs w:val="24"/>
          <w:u w:val="single"/>
        </w:rPr>
      </w:pPr>
      <w:r w:rsidRPr="00433308">
        <w:rPr>
          <w:noProof/>
          <w:lang w:val="en-US" w:eastAsia="en-US"/>
        </w:rPr>
        <w:drawing>
          <wp:inline distT="0" distB="0" distL="0" distR="0" wp14:anchorId="76F90639" wp14:editId="4A70BD54">
            <wp:extent cx="5673090" cy="3444240"/>
            <wp:effectExtent l="0" t="0" r="3810" b="38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33308" w:rsidRPr="00433308" w:rsidRDefault="00433308" w:rsidP="00433308">
      <w:pPr>
        <w:jc w:val="both"/>
        <w:rPr>
          <w:i/>
        </w:rPr>
      </w:pPr>
      <w:r w:rsidRPr="00433308">
        <w:rPr>
          <w:i/>
        </w:rPr>
        <w:t xml:space="preserve">      Sursă: Ministerul Finanțelor, Banca Națională a Moldovei</w:t>
      </w:r>
    </w:p>
    <w:p w:rsidR="00433308" w:rsidRPr="00433308" w:rsidRDefault="00433308" w:rsidP="00433308">
      <w:pPr>
        <w:jc w:val="both"/>
        <w:rPr>
          <w:sz w:val="24"/>
          <w:szCs w:val="24"/>
          <w:u w:val="single"/>
        </w:rPr>
      </w:pPr>
    </w:p>
    <w:p w:rsidR="00433308" w:rsidRPr="00433308" w:rsidRDefault="00433308" w:rsidP="00433308">
      <w:pPr>
        <w:jc w:val="both"/>
        <w:rPr>
          <w:sz w:val="24"/>
          <w:szCs w:val="24"/>
        </w:rPr>
      </w:pPr>
      <w:r w:rsidRPr="00433308">
        <w:rPr>
          <w:b/>
          <w:i/>
          <w:sz w:val="24"/>
          <w:szCs w:val="24"/>
        </w:rPr>
        <w:t>Datoria de stat externă</w:t>
      </w:r>
      <w:r w:rsidRPr="00433308">
        <w:rPr>
          <w:sz w:val="24"/>
          <w:szCs w:val="24"/>
        </w:rPr>
        <w:t xml:space="preserve"> este o parte integrantă a datoriei de stat și reprezintă </w:t>
      </w:r>
      <w:proofErr w:type="spellStart"/>
      <w:r w:rsidRPr="00433308">
        <w:rPr>
          <w:sz w:val="24"/>
          <w:szCs w:val="24"/>
        </w:rPr>
        <w:t>obligaţiile</w:t>
      </w:r>
      <w:proofErr w:type="spellEnd"/>
      <w:r w:rsidRPr="00433308">
        <w:rPr>
          <w:sz w:val="24"/>
          <w:szCs w:val="24"/>
        </w:rPr>
        <w:t xml:space="preserve"> neonorate şi dobânzile datorate şi neonorate, contractate în numele Republicii Moldova de Guvern, prin intermediul Ministerului Finanţelor, de la </w:t>
      </w:r>
      <w:proofErr w:type="spellStart"/>
      <w:r w:rsidRPr="00433308">
        <w:rPr>
          <w:sz w:val="24"/>
          <w:szCs w:val="24"/>
        </w:rPr>
        <w:t>nerezidenţii</w:t>
      </w:r>
      <w:proofErr w:type="spellEnd"/>
      <w:r w:rsidRPr="00433308">
        <w:rPr>
          <w:sz w:val="24"/>
          <w:szCs w:val="24"/>
        </w:rPr>
        <w:t xml:space="preserve"> Republicii Moldova. Ponderea datoriei de stat externe în volumul total al datoriei de stat constituie 55,6%. </w:t>
      </w:r>
    </w:p>
    <w:p w:rsidR="00433308" w:rsidRPr="00433308" w:rsidRDefault="00433308" w:rsidP="00433308">
      <w:pPr>
        <w:jc w:val="both"/>
        <w:rPr>
          <w:sz w:val="24"/>
          <w:szCs w:val="24"/>
          <w:u w:val="single"/>
        </w:rPr>
      </w:pPr>
    </w:p>
    <w:p w:rsidR="00433308" w:rsidRPr="00433308" w:rsidRDefault="00433308" w:rsidP="00433308">
      <w:pPr>
        <w:jc w:val="both"/>
        <w:rPr>
          <w:sz w:val="24"/>
          <w:szCs w:val="24"/>
        </w:rPr>
      </w:pPr>
      <w:r w:rsidRPr="00433308">
        <w:rPr>
          <w:sz w:val="24"/>
          <w:szCs w:val="24"/>
        </w:rPr>
        <w:t xml:space="preserve">Soldul </w:t>
      </w:r>
      <w:r w:rsidRPr="00433308">
        <w:rPr>
          <w:bCs/>
          <w:iCs/>
          <w:sz w:val="24"/>
          <w:szCs w:val="24"/>
        </w:rPr>
        <w:t>datoriei de stat externe</w:t>
      </w:r>
      <w:r w:rsidRPr="00433308">
        <w:rPr>
          <w:sz w:val="24"/>
          <w:szCs w:val="24"/>
        </w:rPr>
        <w:t xml:space="preserve"> administrată de Guvern a însumat 1697,3 mil. dolari (circa 29 mild. lei), comparativ cu 1744,1 mil. dolari (circa 29,2 mild. lei) la data de 31 ianuarie 2018. Astfel, s-a înregistrat o diminuare de 2,7% a datoriei de stat externe exprimate în dolari și o diminuare cu 0,5% a datoriei de stat externe exprimate în lei, avînd ca impact o ușoară depreciere a monedei naționale față de dolar (la situația din 31 ianuarie 2019).</w:t>
      </w:r>
    </w:p>
    <w:p w:rsidR="00433308" w:rsidRPr="00433308" w:rsidRDefault="00433308" w:rsidP="00433308">
      <w:pPr>
        <w:jc w:val="both"/>
        <w:rPr>
          <w:sz w:val="24"/>
          <w:szCs w:val="24"/>
          <w:u w:val="single"/>
        </w:rPr>
      </w:pPr>
    </w:p>
    <w:p w:rsidR="00433308" w:rsidRPr="00433308" w:rsidRDefault="00433308" w:rsidP="00433308">
      <w:pPr>
        <w:jc w:val="both"/>
        <w:rPr>
          <w:sz w:val="24"/>
          <w:szCs w:val="24"/>
        </w:rPr>
      </w:pPr>
      <w:r w:rsidRPr="00433308">
        <w:rPr>
          <w:sz w:val="24"/>
          <w:szCs w:val="24"/>
        </w:rPr>
        <w:t xml:space="preserve">În luna ianuarie 2019 surse externe de finanțare au intrat în valoare de circa 2,2 </w:t>
      </w:r>
      <w:proofErr w:type="spellStart"/>
      <w:r w:rsidRPr="00433308">
        <w:rPr>
          <w:sz w:val="24"/>
          <w:szCs w:val="24"/>
        </w:rPr>
        <w:t>mil.dolari</w:t>
      </w:r>
      <w:proofErr w:type="spellEnd"/>
      <w:r w:rsidRPr="00433308">
        <w:rPr>
          <w:sz w:val="24"/>
          <w:szCs w:val="24"/>
        </w:rPr>
        <w:t xml:space="preserve">, dar au fost rambursate – 3,9 </w:t>
      </w:r>
      <w:proofErr w:type="spellStart"/>
      <w:r w:rsidRPr="00433308">
        <w:rPr>
          <w:sz w:val="24"/>
          <w:szCs w:val="24"/>
        </w:rPr>
        <w:t>mil.dolari</w:t>
      </w:r>
      <w:proofErr w:type="spellEnd"/>
      <w:r w:rsidRPr="00433308">
        <w:rPr>
          <w:sz w:val="24"/>
          <w:szCs w:val="24"/>
        </w:rPr>
        <w:t xml:space="preserve">. Respectiv, finanțarea externă netă a atins valoare negativă – 1,66 </w:t>
      </w:r>
      <w:proofErr w:type="spellStart"/>
      <w:r w:rsidRPr="00433308">
        <w:rPr>
          <w:sz w:val="24"/>
          <w:szCs w:val="24"/>
        </w:rPr>
        <w:t>mil.dolari</w:t>
      </w:r>
      <w:proofErr w:type="spellEnd"/>
      <w:r w:rsidRPr="00433308">
        <w:rPr>
          <w:sz w:val="24"/>
          <w:szCs w:val="24"/>
        </w:rPr>
        <w:t xml:space="preserve">. La evoluția datoriei externe în dolari a contribuit </w:t>
      </w:r>
      <w:proofErr w:type="spellStart"/>
      <w:r w:rsidRPr="00433308">
        <w:rPr>
          <w:sz w:val="24"/>
          <w:szCs w:val="24"/>
        </w:rPr>
        <w:t>fluctuaţia</w:t>
      </w:r>
      <w:proofErr w:type="spellEnd"/>
      <w:r w:rsidRPr="00433308">
        <w:rPr>
          <w:sz w:val="24"/>
          <w:szCs w:val="24"/>
        </w:rPr>
        <w:t xml:space="preserve"> ratei de schimb a dolarului american faţă de alte valute, care a atins valori pozitive și a constituit 10 mil. dolari.</w:t>
      </w:r>
    </w:p>
    <w:p w:rsidR="00433308" w:rsidRPr="00433308" w:rsidRDefault="00433308" w:rsidP="00433308">
      <w:pPr>
        <w:jc w:val="both"/>
        <w:rPr>
          <w:sz w:val="24"/>
          <w:szCs w:val="24"/>
          <w:u w:val="single"/>
        </w:rPr>
      </w:pPr>
    </w:p>
    <w:p w:rsidR="00433308" w:rsidRPr="00433308" w:rsidRDefault="00433308" w:rsidP="00433308">
      <w:pPr>
        <w:jc w:val="center"/>
        <w:rPr>
          <w:i/>
          <w:sz w:val="24"/>
          <w:szCs w:val="24"/>
        </w:rPr>
      </w:pPr>
      <w:r w:rsidRPr="00433308">
        <w:rPr>
          <w:b/>
          <w:i/>
          <w:sz w:val="24"/>
          <w:szCs w:val="24"/>
        </w:rPr>
        <w:t xml:space="preserve">Intrări lunare de surse externe de finanțare, rambursările și finanțarea externă netă </w:t>
      </w:r>
      <w:r w:rsidRPr="00433308">
        <w:rPr>
          <w:i/>
          <w:sz w:val="24"/>
          <w:szCs w:val="24"/>
        </w:rPr>
        <w:t>(</w:t>
      </w:r>
      <w:proofErr w:type="spellStart"/>
      <w:r w:rsidRPr="00433308">
        <w:rPr>
          <w:i/>
          <w:sz w:val="24"/>
          <w:szCs w:val="24"/>
        </w:rPr>
        <w:t>mil.dolari</w:t>
      </w:r>
      <w:proofErr w:type="spellEnd"/>
      <w:r w:rsidRPr="00433308">
        <w:rPr>
          <w:i/>
          <w:sz w:val="24"/>
          <w:szCs w:val="24"/>
        </w:rPr>
        <w:t>)</w:t>
      </w:r>
    </w:p>
    <w:p w:rsidR="00433308" w:rsidRPr="00433308" w:rsidRDefault="00433308" w:rsidP="00433308">
      <w:pPr>
        <w:jc w:val="center"/>
        <w:rPr>
          <w:i/>
          <w:sz w:val="24"/>
          <w:szCs w:val="24"/>
          <w:u w:val="single"/>
        </w:rPr>
      </w:pPr>
    </w:p>
    <w:p w:rsidR="00433308" w:rsidRPr="00433308" w:rsidRDefault="00433308" w:rsidP="00433308">
      <w:pPr>
        <w:jc w:val="center"/>
        <w:rPr>
          <w:u w:val="single"/>
        </w:rPr>
      </w:pPr>
      <w:r w:rsidRPr="00433308">
        <w:rPr>
          <w:noProof/>
          <w:lang w:val="en-US" w:eastAsia="en-US"/>
        </w:rPr>
        <w:drawing>
          <wp:inline distT="0" distB="0" distL="0" distR="0" wp14:anchorId="621C2CD6" wp14:editId="6DF0E81A">
            <wp:extent cx="5737860" cy="3566160"/>
            <wp:effectExtent l="0" t="0" r="15240" b="1524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33308" w:rsidRPr="00433308" w:rsidRDefault="00433308" w:rsidP="00433308">
      <w:r w:rsidRPr="00433308">
        <w:rPr>
          <w:i/>
        </w:rPr>
        <w:t xml:space="preserve">                 Sursă: Ministerul Finanțelor</w:t>
      </w:r>
    </w:p>
    <w:p w:rsidR="00433308" w:rsidRPr="00433308" w:rsidRDefault="00433308" w:rsidP="00433308">
      <w:pPr>
        <w:rPr>
          <w:u w:val="single"/>
        </w:rPr>
      </w:pPr>
    </w:p>
    <w:p w:rsidR="00433308" w:rsidRPr="00433308" w:rsidRDefault="00433308" w:rsidP="00433308">
      <w:pPr>
        <w:rPr>
          <w:u w:val="single"/>
        </w:rPr>
      </w:pPr>
    </w:p>
    <w:p w:rsidR="00433308" w:rsidRPr="00433308" w:rsidRDefault="00433308" w:rsidP="00433308"/>
    <w:p w:rsidR="00B57502" w:rsidRDefault="00B57502" w:rsidP="008C2F94">
      <w:pPr>
        <w:rPr>
          <w:u w:val="single"/>
        </w:rPr>
      </w:pPr>
    </w:p>
    <w:p w:rsidR="005F6215" w:rsidRDefault="005F6215" w:rsidP="008C2F94">
      <w:pPr>
        <w:rPr>
          <w:u w:val="single"/>
        </w:rPr>
      </w:pPr>
    </w:p>
    <w:p w:rsidR="005F6215" w:rsidRDefault="005F6215" w:rsidP="008C2F94">
      <w:pPr>
        <w:rPr>
          <w:u w:val="single"/>
        </w:rPr>
      </w:pPr>
    </w:p>
    <w:p w:rsidR="005F6215" w:rsidRDefault="005F6215" w:rsidP="008C2F94">
      <w:pPr>
        <w:rPr>
          <w:u w:val="single"/>
        </w:rPr>
      </w:pPr>
    </w:p>
    <w:p w:rsidR="005F6215" w:rsidRDefault="005F6215" w:rsidP="008C2F94">
      <w:pPr>
        <w:rPr>
          <w:u w:val="single"/>
        </w:rPr>
      </w:pPr>
    </w:p>
    <w:p w:rsidR="005F6215" w:rsidRDefault="005F6215" w:rsidP="008C2F94">
      <w:pPr>
        <w:rPr>
          <w:u w:val="single"/>
        </w:rPr>
      </w:pPr>
    </w:p>
    <w:p w:rsidR="005F6215" w:rsidRDefault="005F6215" w:rsidP="008C2F94">
      <w:pPr>
        <w:rPr>
          <w:u w:val="single"/>
        </w:rPr>
      </w:pPr>
    </w:p>
    <w:p w:rsidR="005F6215" w:rsidRDefault="005F6215" w:rsidP="008C2F94">
      <w:pPr>
        <w:rPr>
          <w:u w:val="single"/>
        </w:rPr>
      </w:pPr>
    </w:p>
    <w:p w:rsidR="005F6215" w:rsidRDefault="005F6215" w:rsidP="008C2F94">
      <w:pPr>
        <w:rPr>
          <w:u w:val="single"/>
        </w:rPr>
      </w:pPr>
    </w:p>
    <w:p w:rsidR="005F6215" w:rsidRDefault="005F6215" w:rsidP="008C2F94">
      <w:pPr>
        <w:rPr>
          <w:u w:val="single"/>
        </w:rPr>
      </w:pPr>
    </w:p>
    <w:p w:rsidR="005F6215" w:rsidRDefault="005F6215" w:rsidP="008C2F94">
      <w:pPr>
        <w:rPr>
          <w:u w:val="single"/>
        </w:rPr>
      </w:pPr>
    </w:p>
    <w:p w:rsidR="005F6215" w:rsidRDefault="005F6215" w:rsidP="008C2F94">
      <w:pPr>
        <w:rPr>
          <w:u w:val="single"/>
        </w:rPr>
      </w:pPr>
    </w:p>
    <w:p w:rsidR="005F6215" w:rsidRPr="00667A84" w:rsidRDefault="005F6215" w:rsidP="008C2F94">
      <w:pPr>
        <w:rPr>
          <w:u w:val="single"/>
        </w:rPr>
      </w:pPr>
    </w:p>
    <w:p w:rsidR="001A36C3" w:rsidRPr="00667A84" w:rsidRDefault="001A36C3" w:rsidP="008C2F94">
      <w:pPr>
        <w:rPr>
          <w:u w:val="single"/>
        </w:rPr>
      </w:pPr>
    </w:p>
    <w:p w:rsidR="00B57502" w:rsidRPr="00667A84" w:rsidRDefault="00B57502" w:rsidP="008C2F94">
      <w:pPr>
        <w:rPr>
          <w:u w:val="single"/>
        </w:rPr>
      </w:pPr>
    </w:p>
    <w:p w:rsidR="00790C77" w:rsidRPr="007F2051" w:rsidRDefault="00790C77" w:rsidP="005B742B">
      <w:pPr>
        <w:pStyle w:val="Heading1"/>
        <w:keepNext w:val="0"/>
        <w:numPr>
          <w:ilvl w:val="0"/>
          <w:numId w:val="7"/>
        </w:numPr>
        <w:tabs>
          <w:tab w:val="num" w:pos="284"/>
        </w:tabs>
        <w:ind w:left="0" w:firstLine="0"/>
        <w:rPr>
          <w:sz w:val="26"/>
          <w:szCs w:val="26"/>
        </w:rPr>
      </w:pPr>
      <w:r w:rsidRPr="007F2051">
        <w:rPr>
          <w:sz w:val="26"/>
          <w:szCs w:val="26"/>
        </w:rPr>
        <w:lastRenderedPageBreak/>
        <w:t>Sectorul real</w:t>
      </w:r>
    </w:p>
    <w:p w:rsidR="00756C1D" w:rsidRPr="00667A84" w:rsidRDefault="00756C1D" w:rsidP="00756C1D">
      <w:pPr>
        <w:rPr>
          <w:u w:val="single"/>
        </w:rPr>
      </w:pPr>
    </w:p>
    <w:p w:rsidR="007F2051" w:rsidRPr="00B81823" w:rsidRDefault="007F2051" w:rsidP="007F2051">
      <w:pPr>
        <w:rPr>
          <w:b/>
          <w:sz w:val="24"/>
          <w:szCs w:val="24"/>
          <w:lang w:eastAsia="x-none"/>
        </w:rPr>
      </w:pPr>
      <w:r w:rsidRPr="00B81823">
        <w:rPr>
          <w:b/>
          <w:sz w:val="24"/>
          <w:szCs w:val="24"/>
          <w:lang w:eastAsia="x-none"/>
        </w:rPr>
        <w:t>Industria</w:t>
      </w:r>
    </w:p>
    <w:p w:rsidR="007F2051" w:rsidRPr="00B81823" w:rsidRDefault="007F2051" w:rsidP="007F2051">
      <w:pPr>
        <w:rPr>
          <w:bCs/>
          <w:i/>
          <w:sz w:val="10"/>
          <w:szCs w:val="10"/>
        </w:rPr>
      </w:pPr>
    </w:p>
    <w:p w:rsidR="007F2051" w:rsidRPr="00B81823" w:rsidRDefault="007F2051" w:rsidP="007F2051">
      <w:pPr>
        <w:shd w:val="clear" w:color="auto" w:fill="FFFFFF"/>
        <w:jc w:val="both"/>
        <w:textAlignment w:val="baseline"/>
        <w:rPr>
          <w:sz w:val="24"/>
          <w:szCs w:val="24"/>
          <w:lang w:eastAsia="x-none"/>
        </w:rPr>
      </w:pPr>
      <w:r w:rsidRPr="00B81823">
        <w:rPr>
          <w:sz w:val="24"/>
          <w:szCs w:val="24"/>
          <w:lang w:eastAsia="x-none"/>
        </w:rPr>
        <w:t>În anul 2018</w:t>
      </w:r>
      <w:r w:rsidRPr="00B81823">
        <w:rPr>
          <w:b/>
          <w:sz w:val="24"/>
          <w:szCs w:val="24"/>
          <w:lang w:eastAsia="x-none"/>
        </w:rPr>
        <w:t xml:space="preserve"> volumul producției industriale a crescut cu 3,7% </w:t>
      </w:r>
      <w:r w:rsidRPr="00B81823">
        <w:rPr>
          <w:sz w:val="24"/>
          <w:szCs w:val="24"/>
          <w:lang w:eastAsia="x-none"/>
        </w:rPr>
        <w:t xml:space="preserve">comparativ cu </w:t>
      </w:r>
      <w:r>
        <w:rPr>
          <w:sz w:val="24"/>
          <w:szCs w:val="24"/>
          <w:lang w:eastAsia="x-none"/>
        </w:rPr>
        <w:t xml:space="preserve">anul </w:t>
      </w:r>
      <w:r w:rsidRPr="00B81823">
        <w:rPr>
          <w:sz w:val="24"/>
          <w:szCs w:val="24"/>
          <w:lang w:eastAsia="x-none"/>
        </w:rPr>
        <w:t>2017.</w:t>
      </w:r>
    </w:p>
    <w:p w:rsidR="007F2051" w:rsidRPr="00667A84" w:rsidRDefault="007F2051" w:rsidP="007F2051">
      <w:pPr>
        <w:shd w:val="clear" w:color="auto" w:fill="FFFFFF"/>
        <w:jc w:val="both"/>
        <w:textAlignment w:val="baseline"/>
        <w:rPr>
          <w:i/>
          <w:sz w:val="24"/>
          <w:szCs w:val="24"/>
          <w:u w:val="single"/>
          <w:lang w:eastAsia="x-none"/>
        </w:rPr>
      </w:pPr>
    </w:p>
    <w:p w:rsidR="007F2051" w:rsidRDefault="007F2051" w:rsidP="007F2051">
      <w:pPr>
        <w:shd w:val="clear" w:color="auto" w:fill="FFFFFF"/>
        <w:jc w:val="both"/>
        <w:textAlignment w:val="baseline"/>
        <w:rPr>
          <w:sz w:val="24"/>
          <w:szCs w:val="24"/>
          <w:lang w:eastAsia="x-none"/>
        </w:rPr>
      </w:pPr>
      <w:r w:rsidRPr="00ED7AD7">
        <w:rPr>
          <w:i/>
          <w:sz w:val="24"/>
          <w:szCs w:val="24"/>
          <w:lang w:eastAsia="x-none"/>
        </w:rPr>
        <w:t xml:space="preserve">Industria prelucrătoare, </w:t>
      </w:r>
      <w:r w:rsidRPr="00ED7AD7">
        <w:rPr>
          <w:sz w:val="24"/>
          <w:szCs w:val="24"/>
          <w:lang w:eastAsia="x-none"/>
        </w:rPr>
        <w:t xml:space="preserve">în care se produc circa 82% din bunurile industriale, a crescut cu 3,7% şi a contribuit la creșterea industriei cu 2,3 p.p. (circa 61,1% din creşterea totală). </w:t>
      </w:r>
      <w:r w:rsidRPr="00ED7AD7">
        <w:rPr>
          <w:i/>
          <w:sz w:val="24"/>
          <w:szCs w:val="24"/>
          <w:lang w:eastAsia="x-none"/>
        </w:rPr>
        <w:t>Producţia şi furnizarea de energie</w:t>
      </w:r>
      <w:r w:rsidRPr="00ED7AD7">
        <w:rPr>
          <w:sz w:val="24"/>
          <w:szCs w:val="24"/>
          <w:lang w:eastAsia="x-none"/>
        </w:rPr>
        <w:t xml:space="preserve"> a crescut cu 7,4%, contribuind cu 1,2 p.p. la creșterea industriei (32,2% din creșterea totală). Totodată, </w:t>
      </w:r>
      <w:r w:rsidRPr="00ED7AD7">
        <w:rPr>
          <w:i/>
          <w:sz w:val="24"/>
          <w:szCs w:val="24"/>
          <w:lang w:eastAsia="x-none"/>
        </w:rPr>
        <w:t>industria extractivă,</w:t>
      </w:r>
      <w:r w:rsidRPr="00ED7AD7">
        <w:rPr>
          <w:sz w:val="24"/>
          <w:szCs w:val="24"/>
          <w:lang w:eastAsia="x-none"/>
        </w:rPr>
        <w:t xml:space="preserve"> favorizată în mare parte de evoluțiile pozitive din sectorul de construcții, a înregistrat un rezultat pozitiv de 9,9% și a contribuit cu +0,2 p.p. la creșterea totală a IPI (circa 6,7% din creștere).</w:t>
      </w: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single" w:sz="4" w:space="0" w:color="A6A6A6" w:themeColor="background1" w:themeShade="A6"/>
        </w:tblBorders>
        <w:tblLook w:val="04A0" w:firstRow="1" w:lastRow="0" w:firstColumn="1" w:lastColumn="0" w:noHBand="0" w:noVBand="1"/>
      </w:tblPr>
      <w:tblGrid>
        <w:gridCol w:w="5272"/>
        <w:gridCol w:w="4355"/>
      </w:tblGrid>
      <w:tr w:rsidR="00C2068C" w:rsidRPr="00380D70" w:rsidTr="00D73FDF">
        <w:trPr>
          <w:trHeight w:val="714"/>
          <w:jc w:val="center"/>
        </w:trPr>
        <w:tc>
          <w:tcPr>
            <w:tcW w:w="5272" w:type="dxa"/>
          </w:tcPr>
          <w:p w:rsidR="00C2068C" w:rsidRPr="00380D70" w:rsidRDefault="00C2068C" w:rsidP="00D73FDF">
            <w:pPr>
              <w:jc w:val="center"/>
              <w:rPr>
                <w:b/>
                <w:bCs/>
                <w:i/>
                <w:sz w:val="22"/>
                <w:lang w:eastAsia="x-none"/>
              </w:rPr>
            </w:pPr>
            <w:r w:rsidRPr="00380D70">
              <w:rPr>
                <w:b/>
                <w:bCs/>
                <w:i/>
                <w:sz w:val="22"/>
                <w:lang w:eastAsia="x-none"/>
              </w:rPr>
              <w:t xml:space="preserve">Evoluția sectorului industrial și contribuția ramurilor la creștere, %, </w:t>
            </w:r>
          </w:p>
          <w:p w:rsidR="00C2068C" w:rsidRPr="00380D70" w:rsidRDefault="00C2068C" w:rsidP="00D73FDF">
            <w:pPr>
              <w:jc w:val="center"/>
              <w:rPr>
                <w:b/>
                <w:i/>
                <w:sz w:val="22"/>
                <w:lang w:eastAsia="x-none"/>
              </w:rPr>
            </w:pPr>
            <w:r w:rsidRPr="00380D70">
              <w:rPr>
                <w:i/>
                <w:iCs/>
                <w:sz w:val="22"/>
                <w:lang w:eastAsia="x-none"/>
              </w:rPr>
              <w:t>2014-2018</w:t>
            </w:r>
          </w:p>
        </w:tc>
        <w:tc>
          <w:tcPr>
            <w:tcW w:w="4355" w:type="dxa"/>
          </w:tcPr>
          <w:p w:rsidR="00C2068C" w:rsidRPr="00380D70" w:rsidRDefault="00C2068C" w:rsidP="00D73FDF">
            <w:pPr>
              <w:jc w:val="center"/>
              <w:rPr>
                <w:b/>
                <w:bCs/>
                <w:i/>
                <w:sz w:val="22"/>
                <w:lang w:eastAsia="x-none"/>
              </w:rPr>
            </w:pPr>
            <w:r w:rsidRPr="00380D70">
              <w:rPr>
                <w:b/>
                <w:bCs/>
                <w:i/>
                <w:sz w:val="22"/>
                <w:lang w:eastAsia="x-none"/>
              </w:rPr>
              <w:t>Structura sectorului industrial, %</w:t>
            </w:r>
          </w:p>
          <w:p w:rsidR="00C2068C" w:rsidRPr="00380D70" w:rsidRDefault="00C2068C" w:rsidP="00D73FDF">
            <w:pPr>
              <w:jc w:val="center"/>
              <w:rPr>
                <w:b/>
                <w:i/>
                <w:sz w:val="22"/>
                <w:lang w:eastAsia="x-none"/>
              </w:rPr>
            </w:pPr>
            <w:r w:rsidRPr="00380D70">
              <w:rPr>
                <w:i/>
                <w:iCs/>
                <w:sz w:val="22"/>
                <w:lang w:eastAsia="x-none"/>
              </w:rPr>
              <w:t>2017-2018</w:t>
            </w:r>
          </w:p>
        </w:tc>
      </w:tr>
      <w:tr w:rsidR="00C2068C" w:rsidRPr="00380D70" w:rsidTr="00D73FDF">
        <w:trPr>
          <w:trHeight w:val="3984"/>
          <w:jc w:val="center"/>
        </w:trPr>
        <w:tc>
          <w:tcPr>
            <w:tcW w:w="5272" w:type="dxa"/>
          </w:tcPr>
          <w:p w:rsidR="00C2068C" w:rsidRPr="00380D70" w:rsidRDefault="00C2068C" w:rsidP="00D73FDF">
            <w:pPr>
              <w:spacing w:before="120"/>
              <w:jc w:val="center"/>
              <w:rPr>
                <w:b/>
                <w:i/>
                <w:sz w:val="24"/>
                <w:lang w:eastAsia="x-none"/>
              </w:rPr>
            </w:pPr>
            <w:r w:rsidRPr="00380D70">
              <w:rPr>
                <w:noProof/>
                <w:lang w:val="en-US" w:eastAsia="en-US"/>
              </w:rPr>
              <w:drawing>
                <wp:inline distT="0" distB="0" distL="0" distR="0" wp14:anchorId="1D22298D" wp14:editId="42A0C0BE">
                  <wp:extent cx="3257550" cy="2628900"/>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355" w:type="dxa"/>
          </w:tcPr>
          <w:p w:rsidR="00C2068C" w:rsidRPr="00380D70" w:rsidRDefault="00C2068C" w:rsidP="00D73FDF">
            <w:pPr>
              <w:spacing w:before="120"/>
              <w:jc w:val="center"/>
              <w:rPr>
                <w:b/>
                <w:i/>
                <w:sz w:val="24"/>
                <w:lang w:eastAsia="x-none"/>
              </w:rPr>
            </w:pPr>
            <w:r w:rsidRPr="00380D70">
              <w:rPr>
                <w:noProof/>
                <w:lang w:val="en-US" w:eastAsia="en-US"/>
              </w:rPr>
              <w:drawing>
                <wp:inline distT="0" distB="0" distL="0" distR="0" wp14:anchorId="2C0F0D8B" wp14:editId="58876323">
                  <wp:extent cx="2667000" cy="2943225"/>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C2068C" w:rsidRPr="00667A84" w:rsidTr="00C2068C">
        <w:tblPrEx>
          <w:tblBorders>
            <w:top w:val="none" w:sz="0" w:space="0" w:color="auto"/>
            <w:left w:val="none" w:sz="0" w:space="0" w:color="auto"/>
            <w:bottom w:val="none" w:sz="0" w:space="0" w:color="auto"/>
            <w:right w:val="none" w:sz="0" w:space="0" w:color="auto"/>
            <w:insideV w:val="none" w:sz="0" w:space="0" w:color="auto"/>
          </w:tblBorders>
        </w:tblPrEx>
        <w:trPr>
          <w:trHeight w:val="251"/>
          <w:jc w:val="center"/>
        </w:trPr>
        <w:tc>
          <w:tcPr>
            <w:tcW w:w="9627" w:type="dxa"/>
            <w:gridSpan w:val="2"/>
          </w:tcPr>
          <w:p w:rsidR="00C2068C" w:rsidRPr="00B71923" w:rsidRDefault="00C2068C" w:rsidP="00D73FDF">
            <w:pPr>
              <w:ind w:left="426"/>
              <w:jc w:val="both"/>
              <w:textAlignment w:val="baseline"/>
              <w:rPr>
                <w:sz w:val="24"/>
                <w:szCs w:val="24"/>
                <w:lang w:eastAsia="x-none"/>
              </w:rPr>
            </w:pPr>
            <w:r w:rsidRPr="00B71923">
              <w:rPr>
                <w:bCs/>
                <w:i/>
                <w:sz w:val="18"/>
              </w:rPr>
              <w:t>Sursă: Biroul Naţional de Statistică</w:t>
            </w:r>
          </w:p>
        </w:tc>
      </w:tr>
    </w:tbl>
    <w:p w:rsidR="00C2068C" w:rsidRDefault="00C2068C" w:rsidP="007F2051">
      <w:pPr>
        <w:shd w:val="clear" w:color="auto" w:fill="FFFFFF"/>
        <w:jc w:val="both"/>
        <w:textAlignment w:val="baseline"/>
        <w:rPr>
          <w:sz w:val="24"/>
          <w:szCs w:val="24"/>
          <w:lang w:eastAsia="x-none"/>
        </w:rPr>
      </w:pPr>
    </w:p>
    <w:p w:rsidR="00C2068C" w:rsidRDefault="00C2068C" w:rsidP="00C2068C">
      <w:pPr>
        <w:shd w:val="clear" w:color="auto" w:fill="FFFFFF"/>
        <w:spacing w:before="120" w:after="120" w:line="252" w:lineRule="auto"/>
        <w:jc w:val="both"/>
        <w:textAlignment w:val="baseline"/>
        <w:rPr>
          <w:sz w:val="24"/>
          <w:szCs w:val="24"/>
          <w:lang w:eastAsia="x-none"/>
        </w:rPr>
      </w:pPr>
      <w:r w:rsidRPr="005A483D">
        <w:rPr>
          <w:sz w:val="24"/>
          <w:szCs w:val="24"/>
          <w:lang w:eastAsia="x-none"/>
        </w:rPr>
        <w:t xml:space="preserve">În trendul </w:t>
      </w:r>
      <w:r w:rsidRPr="005A483D">
        <w:rPr>
          <w:b/>
          <w:sz w:val="24"/>
          <w:szCs w:val="24"/>
          <w:lang w:eastAsia="x-none"/>
        </w:rPr>
        <w:t>celor mai progresive ramuri industriale care au determinat creșterea sectorului industrial</w:t>
      </w:r>
      <w:r w:rsidRPr="005A483D">
        <w:rPr>
          <w:sz w:val="24"/>
          <w:szCs w:val="24"/>
          <w:lang w:eastAsia="x-none"/>
        </w:rPr>
        <w:t xml:space="preserve"> în anul 2018 se numără: industria </w:t>
      </w:r>
      <w:proofErr w:type="spellStart"/>
      <w:r w:rsidRPr="005A483D">
        <w:rPr>
          <w:sz w:val="24"/>
          <w:szCs w:val="24"/>
          <w:lang w:eastAsia="x-none"/>
        </w:rPr>
        <w:t>automotive</w:t>
      </w:r>
      <w:proofErr w:type="spellEnd"/>
      <w:r w:rsidRPr="005A483D">
        <w:rPr>
          <w:sz w:val="24"/>
          <w:szCs w:val="24"/>
          <w:lang w:eastAsia="x-none"/>
        </w:rPr>
        <w:t>, în special producerea de piese pentru autovehicule și motoare și de fire și cabluri electrice (cu o contribuție de circa +1,4 p.p. la IPI); producția și furnizarea de energie (+1,2 p.p.); industria produselor din minerale nemetalice (sticlă, articole din beton, ciment si ipsos) (+1,0 p.p.); industria ușoară (fabricarea îmbrăcămintei, încălțămintei, piei și alte textile) (+0,9 p.p.); industria de prelucrare şi conservare a cărnii (+0,6 p.p.)</w:t>
      </w:r>
      <w:r>
        <w:rPr>
          <w:sz w:val="24"/>
          <w:szCs w:val="24"/>
          <w:lang w:eastAsia="x-none"/>
        </w:rPr>
        <w:t>; fabricarea băuturilor (+0,4 p.p.); fabricarea mobilei (+0,3 p.p.).</w:t>
      </w:r>
    </w:p>
    <w:p w:rsidR="00C2068C" w:rsidRPr="008F2EE4" w:rsidRDefault="00C2068C" w:rsidP="00C2068C">
      <w:pPr>
        <w:shd w:val="clear" w:color="auto" w:fill="FFFFFF"/>
        <w:jc w:val="both"/>
        <w:textAlignment w:val="baseline"/>
        <w:rPr>
          <w:rFonts w:ascii="Calibri Light" w:hAnsi="Calibri Light"/>
          <w:sz w:val="24"/>
          <w:szCs w:val="24"/>
          <w:lang w:eastAsia="x-none"/>
        </w:rPr>
      </w:pPr>
      <w:r w:rsidRPr="008F2EE4">
        <w:rPr>
          <w:sz w:val="24"/>
          <w:szCs w:val="24"/>
          <w:lang w:eastAsia="x-none"/>
        </w:rPr>
        <w:t xml:space="preserve">Extinderea activității Zonelor Economice Libere, în special în ramura industriei </w:t>
      </w:r>
      <w:proofErr w:type="spellStart"/>
      <w:r w:rsidRPr="008F2EE4">
        <w:rPr>
          <w:sz w:val="24"/>
          <w:szCs w:val="24"/>
          <w:lang w:eastAsia="x-none"/>
        </w:rPr>
        <w:t>automotive</w:t>
      </w:r>
      <w:proofErr w:type="spellEnd"/>
      <w:r w:rsidRPr="008F2EE4">
        <w:rPr>
          <w:sz w:val="24"/>
          <w:szCs w:val="24"/>
          <w:lang w:eastAsia="x-none"/>
        </w:rPr>
        <w:t xml:space="preserve">, creșterea cererii externe și interne față de produsele autohtone, </w:t>
      </w:r>
      <w:r w:rsidRPr="008F2EE4">
        <w:rPr>
          <w:sz w:val="24"/>
          <w:szCs w:val="24"/>
        </w:rPr>
        <w:t xml:space="preserve">valorificarea oportunităților oferite de acordurile de cooperare economică internațională, precum și </w:t>
      </w:r>
      <w:r w:rsidRPr="008F2EE4">
        <w:rPr>
          <w:sz w:val="24"/>
          <w:szCs w:val="24"/>
          <w:lang w:eastAsia="x-none"/>
        </w:rPr>
        <w:t>evoluțiile pozitive din sectorul construcțiilor</w:t>
      </w:r>
      <w:r>
        <w:rPr>
          <w:sz w:val="24"/>
          <w:szCs w:val="24"/>
        </w:rPr>
        <w:t xml:space="preserve"> </w:t>
      </w:r>
      <w:r w:rsidRPr="008F2EE4">
        <w:rPr>
          <w:sz w:val="24"/>
          <w:szCs w:val="24"/>
          <w:lang w:eastAsia="x-none"/>
        </w:rPr>
        <w:t xml:space="preserve">au constituit principalii factori care au contribuit la intensificarea activității ramurilor industriale sus-menționate. </w:t>
      </w:r>
    </w:p>
    <w:p w:rsidR="00C2068C" w:rsidRPr="00667A84" w:rsidRDefault="00C2068C" w:rsidP="00C2068C">
      <w:pPr>
        <w:shd w:val="clear" w:color="auto" w:fill="FFFFFF"/>
        <w:spacing w:line="252" w:lineRule="auto"/>
        <w:jc w:val="both"/>
        <w:textAlignment w:val="baseline"/>
        <w:rPr>
          <w:sz w:val="24"/>
          <w:szCs w:val="24"/>
          <w:u w:val="single"/>
          <w:lang w:eastAsia="x-none"/>
        </w:rPr>
      </w:pPr>
    </w:p>
    <w:p w:rsidR="00C2068C" w:rsidRPr="003223A2" w:rsidRDefault="00C2068C" w:rsidP="00C2068C">
      <w:pPr>
        <w:shd w:val="clear" w:color="auto" w:fill="FFFFFF"/>
        <w:spacing w:line="252" w:lineRule="auto"/>
        <w:jc w:val="both"/>
        <w:textAlignment w:val="baseline"/>
        <w:rPr>
          <w:sz w:val="24"/>
          <w:szCs w:val="24"/>
          <w:lang w:eastAsia="x-none"/>
        </w:rPr>
      </w:pPr>
      <w:r w:rsidRPr="003223A2">
        <w:rPr>
          <w:sz w:val="24"/>
          <w:szCs w:val="24"/>
          <w:lang w:eastAsia="x-none"/>
        </w:rPr>
        <w:t xml:space="preserve">Totodată, printre industriile care și-au restrâns volumul producției și </w:t>
      </w:r>
      <w:r w:rsidRPr="003223A2">
        <w:rPr>
          <w:b/>
          <w:sz w:val="24"/>
          <w:szCs w:val="24"/>
          <w:lang w:eastAsia="x-none"/>
        </w:rPr>
        <w:t xml:space="preserve">au contribuit negativ la evoluția sectorului industrial în 2018 </w:t>
      </w:r>
      <w:r w:rsidRPr="003223A2">
        <w:rPr>
          <w:sz w:val="24"/>
          <w:szCs w:val="24"/>
          <w:lang w:eastAsia="x-none"/>
        </w:rPr>
        <w:t xml:space="preserve">se numără:  industria alimentară, în special fabricarea zahărului și a produselor similare (-1,0 p.p.),  fabricarea produselor lactate (-0,4 p.p.), prelucrarea și conservarea fructelor și legumelor (-0,3 p.p.); fabricarea de maşini şi utilaje de utilizare generală (-0,8 p.p. contribuție la IPI); fabricarea produselor farmaceutice (-0,3 p.p.); fabricarea articolelor din plastic (-0,2 p.p.). </w:t>
      </w:r>
    </w:p>
    <w:p w:rsidR="00C2068C" w:rsidRPr="00667A84" w:rsidRDefault="00C2068C" w:rsidP="00C2068C">
      <w:pPr>
        <w:shd w:val="clear" w:color="auto" w:fill="FFFFFF"/>
        <w:spacing w:line="252" w:lineRule="auto"/>
        <w:jc w:val="both"/>
        <w:textAlignment w:val="baseline"/>
        <w:rPr>
          <w:sz w:val="24"/>
          <w:szCs w:val="24"/>
          <w:u w:val="single"/>
          <w:lang w:eastAsia="x-none"/>
        </w:rPr>
      </w:pPr>
    </w:p>
    <w:p w:rsidR="00C2068C" w:rsidRPr="00602C50" w:rsidRDefault="00C2068C" w:rsidP="00C2068C">
      <w:pPr>
        <w:jc w:val="both"/>
        <w:rPr>
          <w:sz w:val="24"/>
          <w:szCs w:val="24"/>
          <w:lang w:eastAsia="x-none"/>
        </w:rPr>
      </w:pPr>
      <w:r w:rsidRPr="00602C50">
        <w:rPr>
          <w:sz w:val="24"/>
          <w:szCs w:val="24"/>
          <w:lang w:eastAsia="x-none"/>
        </w:rPr>
        <w:lastRenderedPageBreak/>
        <w:t xml:space="preserve">Evoluțiile negative din ramurile industriale sus-numite au fost determinate de micșorarea producției agricole la unele produse utilizate ca materie primă în industria alimentară, de scăderea prețurilor pe piețele </w:t>
      </w:r>
      <w:proofErr w:type="spellStart"/>
      <w:r w:rsidRPr="00602C50">
        <w:rPr>
          <w:sz w:val="24"/>
          <w:szCs w:val="24"/>
          <w:lang w:eastAsia="x-none"/>
        </w:rPr>
        <w:t>internaționae</w:t>
      </w:r>
      <w:proofErr w:type="spellEnd"/>
      <w:r w:rsidRPr="00602C50">
        <w:rPr>
          <w:sz w:val="24"/>
          <w:szCs w:val="24"/>
          <w:lang w:eastAsia="x-none"/>
        </w:rPr>
        <w:t xml:space="preserve"> la unele produse alimentare, de competitivitatea scăzută a produselor moldovenești cauzată de utilaje de producție și standarde de calitate depășite, subdezvoltarea și productivitatea joasă în sectorul zootehnic care continuă să afecteze industria lactatelor, subdezvoltarea concurenței în unele ramuri industriale.</w:t>
      </w:r>
    </w:p>
    <w:p w:rsidR="00C2068C" w:rsidRPr="005A483D" w:rsidRDefault="00C2068C" w:rsidP="00C2068C">
      <w:pPr>
        <w:shd w:val="clear" w:color="auto" w:fill="FFFFFF"/>
        <w:spacing w:before="120" w:after="120" w:line="252" w:lineRule="auto"/>
        <w:jc w:val="both"/>
        <w:textAlignment w:val="baseline"/>
        <w:rPr>
          <w:sz w:val="24"/>
          <w:szCs w:val="24"/>
          <w:lang w:eastAsia="x-non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C2068C" w:rsidRPr="00667A84" w:rsidTr="00D73FDF">
        <w:trPr>
          <w:trHeight w:val="6663"/>
          <w:jc w:val="center"/>
        </w:trPr>
        <w:tc>
          <w:tcPr>
            <w:tcW w:w="9627" w:type="dxa"/>
          </w:tcPr>
          <w:p w:rsidR="00C2068C" w:rsidRPr="000C06A2" w:rsidRDefault="00C2068C" w:rsidP="00D73FDF">
            <w:pPr>
              <w:spacing w:before="60"/>
              <w:jc w:val="center"/>
              <w:textAlignment w:val="baseline"/>
              <w:rPr>
                <w:i/>
                <w:sz w:val="22"/>
                <w:szCs w:val="24"/>
                <w:lang w:eastAsia="x-none"/>
              </w:rPr>
            </w:pPr>
            <w:r w:rsidRPr="000C06A2">
              <w:rPr>
                <w:b/>
                <w:bCs/>
                <w:i/>
                <w:iCs/>
                <w:sz w:val="22"/>
                <w:szCs w:val="24"/>
                <w:lang w:eastAsia="x-none"/>
              </w:rPr>
              <w:t>Principalele ramuri care au influențat evoluția industriei în anul 2018, p.p.</w:t>
            </w:r>
          </w:p>
          <w:p w:rsidR="00C2068C" w:rsidRPr="000C06A2" w:rsidRDefault="00C2068C" w:rsidP="00D73FDF">
            <w:pPr>
              <w:jc w:val="center"/>
              <w:textAlignment w:val="baseline"/>
              <w:rPr>
                <w:bCs/>
                <w:i/>
                <w:iCs/>
                <w:sz w:val="22"/>
                <w:szCs w:val="24"/>
                <w:lang w:eastAsia="x-none"/>
              </w:rPr>
            </w:pPr>
            <w:r w:rsidRPr="000C06A2">
              <w:rPr>
                <w:bCs/>
                <w:i/>
                <w:iCs/>
                <w:sz w:val="22"/>
                <w:szCs w:val="24"/>
                <w:lang w:eastAsia="x-none"/>
              </w:rPr>
              <w:t>(+ influență pozitivă; - influență negativă)</w:t>
            </w:r>
          </w:p>
          <w:p w:rsidR="00C2068C" w:rsidRPr="00667A84" w:rsidRDefault="00C2068C" w:rsidP="00D73FDF">
            <w:pPr>
              <w:jc w:val="center"/>
              <w:textAlignment w:val="baseline"/>
              <w:rPr>
                <w:bCs/>
                <w:i/>
                <w:iCs/>
                <w:sz w:val="22"/>
                <w:szCs w:val="24"/>
                <w:u w:val="single"/>
                <w:lang w:eastAsia="x-none"/>
              </w:rPr>
            </w:pPr>
          </w:p>
          <w:p w:rsidR="00C2068C" w:rsidRDefault="00C2068C" w:rsidP="00D73FDF">
            <w:pPr>
              <w:jc w:val="center"/>
              <w:textAlignment w:val="baseline"/>
              <w:rPr>
                <w:noProof/>
                <w:u w:val="single"/>
                <w:lang w:val="en-US" w:eastAsia="en-US"/>
              </w:rPr>
            </w:pPr>
            <w:r w:rsidRPr="00667A84">
              <w:rPr>
                <w:noProof/>
                <w:u w:val="single"/>
                <w:lang w:val="en-US" w:eastAsia="en-US"/>
              </w:rPr>
              <mc:AlternateContent>
                <mc:Choice Requires="wps">
                  <w:drawing>
                    <wp:anchor distT="0" distB="0" distL="114300" distR="114300" simplePos="0" relativeHeight="251727360" behindDoc="0" locked="0" layoutInCell="1" allowOverlap="1" wp14:anchorId="6C798593" wp14:editId="0D063D09">
                      <wp:simplePos x="0" y="0"/>
                      <wp:positionH relativeFrom="column">
                        <wp:posOffset>2661285</wp:posOffset>
                      </wp:positionH>
                      <wp:positionV relativeFrom="paragraph">
                        <wp:posOffset>2829560</wp:posOffset>
                      </wp:positionV>
                      <wp:extent cx="2952000" cy="0"/>
                      <wp:effectExtent l="0" t="0" r="20320" b="19050"/>
                      <wp:wrapNone/>
                      <wp:docPr id="19" name="Straight Connector 7"/>
                      <wp:cNvGraphicFramePr/>
                      <a:graphic xmlns:a="http://schemas.openxmlformats.org/drawingml/2006/main">
                        <a:graphicData uri="http://schemas.microsoft.com/office/word/2010/wordprocessingShape">
                          <wps:wsp>
                            <wps:cNvCnPr/>
                            <wps:spPr>
                              <a:xfrm>
                                <a:off x="0" y="0"/>
                                <a:ext cx="295200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48AEF1" id="Straight Connector 7"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55pt,222.8pt" to="442pt,2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" strokecolor="#c00000" strokeweight="1pt">
                      <v:stroke joinstyle="miter"/>
                    </v:line>
                  </w:pict>
                </mc:Fallback>
              </mc:AlternateContent>
            </w:r>
            <w:r>
              <w:rPr>
                <w:noProof/>
                <w:lang w:val="en-US" w:eastAsia="en-US"/>
              </w:rPr>
              <w:drawing>
                <wp:inline distT="0" distB="0" distL="0" distR="0" wp14:anchorId="436033A6" wp14:editId="5CAA35AE">
                  <wp:extent cx="5372100" cy="37719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667A84">
              <w:rPr>
                <w:noProof/>
                <w:u w:val="single"/>
                <w:lang w:val="en-US" w:eastAsia="en-US"/>
              </w:rPr>
              <w:t xml:space="preserve"> </w:t>
            </w:r>
          </w:p>
          <w:p w:rsidR="00C2068C" w:rsidRPr="00667A84" w:rsidRDefault="00C2068C" w:rsidP="00D73FDF">
            <w:pPr>
              <w:jc w:val="center"/>
              <w:textAlignment w:val="baseline"/>
              <w:rPr>
                <w:i/>
                <w:u w:val="single"/>
                <w:lang w:eastAsia="x-none"/>
              </w:rPr>
            </w:pPr>
          </w:p>
        </w:tc>
      </w:tr>
    </w:tbl>
    <w:p w:rsidR="00C2068C" w:rsidRDefault="00C2068C" w:rsidP="007F2051">
      <w:pPr>
        <w:shd w:val="clear" w:color="auto" w:fill="FFFFFF"/>
        <w:jc w:val="both"/>
        <w:textAlignment w:val="baseline"/>
        <w:rPr>
          <w:sz w:val="24"/>
          <w:szCs w:val="24"/>
          <w:lang w:eastAsia="x-none"/>
        </w:rPr>
      </w:pPr>
    </w:p>
    <w:p w:rsidR="00C2068C" w:rsidRDefault="00C2068C" w:rsidP="007F2051">
      <w:pPr>
        <w:shd w:val="clear" w:color="auto" w:fill="FFFFFF"/>
        <w:jc w:val="both"/>
        <w:textAlignment w:val="baseline"/>
        <w:rPr>
          <w:sz w:val="24"/>
          <w:szCs w:val="24"/>
          <w:lang w:eastAsia="x-none"/>
        </w:rPr>
      </w:pPr>
    </w:p>
    <w:p w:rsidR="007F2051" w:rsidRPr="00667A84" w:rsidRDefault="007F2051" w:rsidP="007F2051">
      <w:pPr>
        <w:shd w:val="clear" w:color="auto" w:fill="FFFFFF"/>
        <w:spacing w:line="252" w:lineRule="auto"/>
        <w:jc w:val="both"/>
        <w:textAlignment w:val="baseline"/>
        <w:rPr>
          <w:sz w:val="24"/>
          <w:szCs w:val="24"/>
          <w:u w:val="single"/>
          <w:lang w:eastAsia="x-none"/>
        </w:rPr>
      </w:pPr>
    </w:p>
    <w:p w:rsidR="00B71923" w:rsidRDefault="00B71923" w:rsidP="007F2051">
      <w:pPr>
        <w:shd w:val="clear" w:color="auto" w:fill="FFFFFF"/>
        <w:jc w:val="both"/>
        <w:textAlignment w:val="baseline"/>
        <w:rPr>
          <w:sz w:val="24"/>
          <w:szCs w:val="24"/>
          <w:lang w:eastAsia="x-none"/>
        </w:rPr>
      </w:pPr>
    </w:p>
    <w:p w:rsidR="007F2051" w:rsidRDefault="007F2051" w:rsidP="007F2051">
      <w:pPr>
        <w:shd w:val="clear" w:color="auto" w:fill="FFFFFF"/>
        <w:jc w:val="both"/>
        <w:textAlignment w:val="baseline"/>
        <w:rPr>
          <w:b/>
          <w:sz w:val="24"/>
          <w:szCs w:val="24"/>
        </w:rPr>
      </w:pPr>
      <w:r>
        <w:rPr>
          <w:b/>
          <w:sz w:val="24"/>
          <w:szCs w:val="24"/>
        </w:rPr>
        <w:t>Investițiile în active imobilizate</w:t>
      </w:r>
    </w:p>
    <w:p w:rsidR="007F2051" w:rsidRDefault="007F2051" w:rsidP="007F2051">
      <w:pPr>
        <w:shd w:val="clear" w:color="auto" w:fill="FFFFFF"/>
        <w:jc w:val="both"/>
        <w:textAlignment w:val="baseline"/>
        <w:rPr>
          <w:b/>
          <w:sz w:val="24"/>
          <w:szCs w:val="24"/>
        </w:rPr>
      </w:pPr>
    </w:p>
    <w:p w:rsidR="007F2051" w:rsidRDefault="007F2051" w:rsidP="007F2051">
      <w:pPr>
        <w:jc w:val="both"/>
        <w:rPr>
          <w:b/>
          <w:sz w:val="10"/>
          <w:szCs w:val="10"/>
          <w:u w:val="single"/>
          <w:lang w:eastAsia="x-none"/>
        </w:rPr>
      </w:pPr>
    </w:p>
    <w:p w:rsidR="007F2051" w:rsidRDefault="007F2051" w:rsidP="007F2051">
      <w:pPr>
        <w:jc w:val="both"/>
        <w:rPr>
          <w:sz w:val="24"/>
          <w:szCs w:val="24"/>
        </w:rPr>
      </w:pPr>
      <w:r>
        <w:rPr>
          <w:b/>
          <w:sz w:val="24"/>
          <w:szCs w:val="24"/>
        </w:rPr>
        <w:t xml:space="preserve">În anul 2018 volumul investițiilor a crescut cu 12,3% </w:t>
      </w:r>
      <w:r>
        <w:rPr>
          <w:sz w:val="24"/>
          <w:szCs w:val="24"/>
        </w:rPr>
        <w:t>faţă de anul precedent, însumând circa 24,2 mild. lei.</w:t>
      </w:r>
    </w:p>
    <w:p w:rsidR="007F2051" w:rsidRDefault="007F2051" w:rsidP="007F2051">
      <w:pPr>
        <w:jc w:val="both"/>
        <w:rPr>
          <w:b/>
          <w:sz w:val="24"/>
          <w:szCs w:val="24"/>
          <w:u w:val="single"/>
        </w:rPr>
      </w:pPr>
    </w:p>
    <w:p w:rsidR="007F2051" w:rsidRDefault="007F2051" w:rsidP="007F2051">
      <w:pPr>
        <w:spacing w:after="120"/>
        <w:jc w:val="both"/>
        <w:rPr>
          <w:sz w:val="24"/>
          <w:szCs w:val="24"/>
        </w:rPr>
      </w:pPr>
      <w:r>
        <w:rPr>
          <w:sz w:val="24"/>
          <w:szCs w:val="24"/>
        </w:rPr>
        <w:t xml:space="preserve">Creșterea intensivă a investițiilor publice, îmbunătățirea situației creditare a economiei naționale, precum și evoluția în creștere a investițiilor agenților economici au determinat creşterea activităţii investiţionale din țară în 2018. Au crescut, în special, investițiile publice în construcții inginerești (drumuri, căi de acces, etc.), mijloace de transport, clădiri nerezidențiale. Investițiile private au fost orientate preponderent în maşini şi utilaje și în mijloace de transport. </w:t>
      </w:r>
    </w:p>
    <w:p w:rsidR="007F2051" w:rsidRDefault="007F2051" w:rsidP="007F2051">
      <w:pPr>
        <w:spacing w:after="120"/>
        <w:jc w:val="both"/>
        <w:rPr>
          <w:sz w:val="24"/>
          <w:szCs w:val="24"/>
        </w:rPr>
      </w:pPr>
      <w:r>
        <w:rPr>
          <w:sz w:val="24"/>
          <w:szCs w:val="24"/>
        </w:rPr>
        <w:t xml:space="preserve">În 2018 au scăzut investițiile din sursele organizațiilor internaționale acordate sub formă de granturi și asistență tehnică, investițiile în activele biologice, investițiile </w:t>
      </w:r>
      <w:proofErr w:type="spellStart"/>
      <w:r>
        <w:rPr>
          <w:sz w:val="24"/>
          <w:szCs w:val="24"/>
        </w:rPr>
        <w:t>fnanțate</w:t>
      </w:r>
      <w:proofErr w:type="spellEnd"/>
      <w:r>
        <w:rPr>
          <w:sz w:val="24"/>
          <w:szCs w:val="24"/>
        </w:rPr>
        <w:t xml:space="preserve"> din împrumuturile externe. </w:t>
      </w:r>
    </w:p>
    <w:p w:rsidR="00C2068C" w:rsidRDefault="00C2068C" w:rsidP="007F2051">
      <w:pPr>
        <w:spacing w:after="120"/>
        <w:jc w:val="both"/>
        <w:rPr>
          <w:sz w:val="24"/>
          <w:szCs w:val="24"/>
        </w:rPr>
      </w:pPr>
    </w:p>
    <w:p w:rsidR="00C2068C" w:rsidRDefault="00C2068C" w:rsidP="007F2051">
      <w:pPr>
        <w:spacing w:after="120"/>
        <w:jc w:val="both"/>
        <w:rPr>
          <w:sz w:val="24"/>
          <w:szCs w:val="24"/>
        </w:rPr>
      </w:pPr>
    </w:p>
    <w:p w:rsidR="00C2068C" w:rsidRDefault="00C2068C" w:rsidP="007F2051">
      <w:pPr>
        <w:spacing w:after="120"/>
        <w:jc w:val="both"/>
        <w:rPr>
          <w:sz w:val="24"/>
          <w:szCs w:val="24"/>
        </w:rPr>
      </w:pPr>
    </w:p>
    <w:tbl>
      <w:tblPr>
        <w:tblW w:w="5000" w:type="pct"/>
        <w:tblLook w:val="04A0" w:firstRow="1" w:lastRow="0" w:firstColumn="1" w:lastColumn="0" w:noHBand="0" w:noVBand="1"/>
      </w:tblPr>
      <w:tblGrid>
        <w:gridCol w:w="4867"/>
        <w:gridCol w:w="4770"/>
      </w:tblGrid>
      <w:tr w:rsidR="007F2051" w:rsidRPr="006A4664" w:rsidTr="005F6215">
        <w:tc>
          <w:tcPr>
            <w:tcW w:w="5000" w:type="pct"/>
            <w:gridSpan w:val="2"/>
            <w:hideMark/>
          </w:tcPr>
          <w:p w:rsidR="007F2051" w:rsidRDefault="007F2051" w:rsidP="005F6215">
            <w:pPr>
              <w:jc w:val="center"/>
              <w:rPr>
                <w:b/>
                <w:bCs/>
                <w:lang w:val="en-GB" w:eastAsia="en-US"/>
              </w:rPr>
            </w:pPr>
            <w:r>
              <w:rPr>
                <w:b/>
                <w:bCs/>
                <w:sz w:val="24"/>
                <w:szCs w:val="24"/>
                <w:lang w:val="en-GB" w:eastAsia="en-US"/>
              </w:rPr>
              <w:lastRenderedPageBreak/>
              <w:t xml:space="preserve">Evoluţia investiţiilor </w:t>
            </w:r>
            <w:proofErr w:type="spellStart"/>
            <w:r>
              <w:rPr>
                <w:b/>
                <w:bCs/>
                <w:sz w:val="24"/>
                <w:szCs w:val="24"/>
                <w:lang w:val="en-GB" w:eastAsia="en-US"/>
              </w:rPr>
              <w:t>în</w:t>
            </w:r>
            <w:proofErr w:type="spellEnd"/>
            <w:r>
              <w:rPr>
                <w:b/>
                <w:bCs/>
                <w:sz w:val="24"/>
                <w:szCs w:val="24"/>
                <w:lang w:val="en-GB" w:eastAsia="en-US"/>
              </w:rPr>
              <w:t xml:space="preserve"> active </w:t>
            </w:r>
            <w:proofErr w:type="spellStart"/>
            <w:r>
              <w:rPr>
                <w:b/>
                <w:bCs/>
                <w:sz w:val="24"/>
                <w:szCs w:val="24"/>
                <w:lang w:val="en-GB" w:eastAsia="en-US"/>
              </w:rPr>
              <w:t>imobilizate</w:t>
            </w:r>
            <w:proofErr w:type="spellEnd"/>
          </w:p>
        </w:tc>
      </w:tr>
      <w:tr w:rsidR="007F2051" w:rsidTr="005F6215">
        <w:trPr>
          <w:trHeight w:val="4465"/>
        </w:trPr>
        <w:tc>
          <w:tcPr>
            <w:tcW w:w="2774" w:type="pct"/>
            <w:hideMark/>
          </w:tcPr>
          <w:p w:rsidR="007F2051" w:rsidRDefault="007F2051" w:rsidP="005F6215">
            <w:pPr>
              <w:spacing w:after="120" w:line="254" w:lineRule="auto"/>
              <w:ind w:firstLine="37"/>
              <w:jc w:val="center"/>
              <w:rPr>
                <w:rFonts w:asciiTheme="majorHAnsi" w:hAnsiTheme="majorHAnsi"/>
                <w:i/>
                <w:noProof/>
                <w:sz w:val="18"/>
                <w:szCs w:val="18"/>
                <w:lang w:val="en-US" w:eastAsia="en-US"/>
              </w:rPr>
            </w:pPr>
            <w:r>
              <w:rPr>
                <w:rFonts w:asciiTheme="majorHAnsi" w:hAnsiTheme="majorHAnsi"/>
                <w:i/>
                <w:noProof/>
                <w:sz w:val="18"/>
                <w:szCs w:val="18"/>
                <w:lang w:val="en-US" w:eastAsia="en-US"/>
              </w:rPr>
              <w:t>%, față  de trimestrul corespunzător al anului precedent</w:t>
            </w:r>
          </w:p>
          <w:p w:rsidR="007F2051" w:rsidRDefault="007F2051" w:rsidP="005F6215">
            <w:pPr>
              <w:spacing w:after="120" w:line="254" w:lineRule="auto"/>
              <w:ind w:firstLine="37"/>
              <w:jc w:val="center"/>
              <w:rPr>
                <w:sz w:val="24"/>
                <w:szCs w:val="24"/>
                <w:lang w:eastAsia="en-US"/>
              </w:rPr>
            </w:pPr>
            <w:r>
              <w:rPr>
                <w:noProof/>
                <w:lang w:val="en-US" w:eastAsia="en-US"/>
              </w:rPr>
              <w:drawing>
                <wp:inline distT="0" distB="0" distL="0" distR="0" wp14:anchorId="0B3F9EDF" wp14:editId="22BE9280">
                  <wp:extent cx="2943225" cy="3324225"/>
                  <wp:effectExtent l="0" t="0" r="0"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2226" w:type="pct"/>
          </w:tcPr>
          <w:p w:rsidR="007F2051" w:rsidRDefault="007F2051" w:rsidP="005F6215">
            <w:pPr>
              <w:spacing w:line="256" w:lineRule="auto"/>
              <w:jc w:val="center"/>
              <w:rPr>
                <w:rFonts w:asciiTheme="majorHAnsi" w:hAnsiTheme="majorHAnsi"/>
                <w:i/>
                <w:noProof/>
                <w:sz w:val="18"/>
                <w:szCs w:val="18"/>
                <w:lang w:val="en-US" w:eastAsia="en-US"/>
              </w:rPr>
            </w:pPr>
            <w:r>
              <w:rPr>
                <w:rFonts w:asciiTheme="majorHAnsi" w:hAnsiTheme="majorHAnsi"/>
                <w:i/>
                <w:noProof/>
                <w:sz w:val="18"/>
                <w:szCs w:val="18"/>
                <w:lang w:val="en-US" w:eastAsia="en-US"/>
              </w:rPr>
              <w:t>mil. lei, ianuarie-decembrie,</w:t>
            </w:r>
            <w:r>
              <w:rPr>
                <w:rFonts w:asciiTheme="majorHAnsi" w:hAnsiTheme="majorHAnsi"/>
                <w:b/>
                <w:noProof/>
                <w:sz w:val="18"/>
                <w:szCs w:val="18"/>
                <w:lang w:val="en-US" w:eastAsia="en-US"/>
              </w:rPr>
              <w:t xml:space="preserve"> </w:t>
            </w:r>
            <w:r>
              <w:rPr>
                <w:rFonts w:asciiTheme="majorHAnsi" w:hAnsiTheme="majorHAnsi"/>
                <w:i/>
                <w:noProof/>
                <w:sz w:val="18"/>
                <w:szCs w:val="18"/>
                <w:lang w:val="en-US" w:eastAsia="en-US"/>
              </w:rPr>
              <w:t>în prețurile anului 2018</w:t>
            </w:r>
          </w:p>
          <w:p w:rsidR="007F2051" w:rsidRDefault="007F2051" w:rsidP="005F6215">
            <w:pPr>
              <w:rPr>
                <w:lang w:val="en-US" w:eastAsia="en-US"/>
              </w:rPr>
            </w:pPr>
            <w:r>
              <w:rPr>
                <w:noProof/>
                <w:lang w:val="en-US" w:eastAsia="en-US"/>
              </w:rPr>
              <w:drawing>
                <wp:inline distT="0" distB="0" distL="0" distR="0" wp14:anchorId="040708E7" wp14:editId="1CED3593">
                  <wp:extent cx="2905125" cy="3200400"/>
                  <wp:effectExtent l="0" t="0" r="0" b="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F2051" w:rsidRDefault="007F2051" w:rsidP="005F6215">
            <w:pPr>
              <w:rPr>
                <w:lang w:val="en-US" w:eastAsia="en-US"/>
              </w:rPr>
            </w:pPr>
          </w:p>
        </w:tc>
      </w:tr>
      <w:tr w:rsidR="007F2051" w:rsidRPr="006A4664" w:rsidTr="005F6215">
        <w:tc>
          <w:tcPr>
            <w:tcW w:w="5000" w:type="pct"/>
            <w:gridSpan w:val="2"/>
            <w:hideMark/>
          </w:tcPr>
          <w:p w:rsidR="007F2051" w:rsidRDefault="007F2051" w:rsidP="005F6215">
            <w:pPr>
              <w:spacing w:after="120" w:line="254" w:lineRule="auto"/>
              <w:jc w:val="both"/>
              <w:rPr>
                <w:i/>
                <w:lang w:eastAsia="en-US"/>
              </w:rPr>
            </w:pPr>
            <w:r>
              <w:rPr>
                <w:i/>
                <w:lang w:eastAsia="en-US"/>
              </w:rPr>
              <w:t>Sursa: Biroul Naţional de Statistică, calculele Ministerului Economiei și Infrastructurii</w:t>
            </w:r>
          </w:p>
        </w:tc>
      </w:tr>
    </w:tbl>
    <w:p w:rsidR="00C2068C" w:rsidRDefault="00C2068C" w:rsidP="007F2051">
      <w:pPr>
        <w:jc w:val="center"/>
        <w:rPr>
          <w:rFonts w:ascii="Calibri Light" w:hAnsi="Calibri Light"/>
          <w:b/>
          <w:sz w:val="24"/>
          <w:szCs w:val="24"/>
        </w:rPr>
      </w:pPr>
    </w:p>
    <w:p w:rsidR="00C2068C" w:rsidRDefault="00C2068C" w:rsidP="007F2051">
      <w:pPr>
        <w:jc w:val="center"/>
        <w:rPr>
          <w:rFonts w:ascii="Calibri Light" w:hAnsi="Calibri Light"/>
          <w:b/>
          <w:sz w:val="24"/>
          <w:szCs w:val="24"/>
        </w:rPr>
      </w:pPr>
    </w:p>
    <w:p w:rsidR="007F2051" w:rsidRPr="00F7569C" w:rsidRDefault="007F2051" w:rsidP="007F2051">
      <w:pPr>
        <w:jc w:val="center"/>
        <w:rPr>
          <w:rFonts w:ascii="Calibri Light" w:hAnsi="Calibri Light"/>
          <w:b/>
          <w:sz w:val="24"/>
          <w:szCs w:val="24"/>
        </w:rPr>
      </w:pPr>
      <w:r w:rsidRPr="00F7569C">
        <w:rPr>
          <w:rFonts w:ascii="Calibri Light" w:hAnsi="Calibri Light"/>
          <w:b/>
          <w:sz w:val="24"/>
          <w:szCs w:val="24"/>
        </w:rPr>
        <w:t>***</w:t>
      </w:r>
    </w:p>
    <w:p w:rsidR="007F2051" w:rsidRPr="00F7569C" w:rsidRDefault="007F2051" w:rsidP="007F2051">
      <w:pPr>
        <w:spacing w:after="120"/>
        <w:jc w:val="both"/>
        <w:rPr>
          <w:sz w:val="24"/>
          <w:szCs w:val="24"/>
        </w:rPr>
      </w:pPr>
      <w:r w:rsidRPr="00F7569C">
        <w:rPr>
          <w:b/>
          <w:sz w:val="24"/>
          <w:szCs w:val="24"/>
        </w:rPr>
        <w:t>Investițiile publice</w:t>
      </w:r>
      <w:r w:rsidRPr="00F7569C">
        <w:rPr>
          <w:sz w:val="24"/>
          <w:szCs w:val="24"/>
        </w:rPr>
        <w:t xml:space="preserve"> </w:t>
      </w:r>
      <w:r w:rsidRPr="00F7569C">
        <w:rPr>
          <w:b/>
          <w:sz w:val="24"/>
          <w:szCs w:val="24"/>
        </w:rPr>
        <w:t>au constituit principalul factor care a determinat creșterea activității investiționale</w:t>
      </w:r>
      <w:r w:rsidRPr="00F7569C">
        <w:rPr>
          <w:sz w:val="24"/>
          <w:szCs w:val="24"/>
        </w:rPr>
        <w:t xml:space="preserve"> în anul 2018, acestea asigurând 57,8% din creșterea totală. Astfel, investițiile bugetare au însumat 4,2 mild. lei și au înregistrat o creștere de 56,9%. Creștere esențială au înregistrat, în special, investițiile din  bugetul de stat (de 1,9 ori). Investițiile din bugetele unităților administrativ-teritoriale au crescut cu circa 15,7%. Majoritatea resurselor financiare publice (peste 45%) au fost investite în construcții inginerești</w:t>
      </w:r>
      <w:r w:rsidRPr="00F7569C">
        <w:rPr>
          <w:rStyle w:val="FootnoteReference"/>
          <w:sz w:val="24"/>
          <w:szCs w:val="24"/>
        </w:rPr>
        <w:footnoteReference w:id="2"/>
      </w:r>
      <w:r w:rsidRPr="00F7569C">
        <w:rPr>
          <w:sz w:val="24"/>
          <w:szCs w:val="24"/>
        </w:rPr>
        <w:t xml:space="preserve"> (străzi, drumuri, sisteme de alimentare cu apă și canalizare, sisteme de încălzire, irigație, etc.),  care au înregistrat o creștere de 44,5%. De asemenea, au crescut investițiile publice în clădirile nerezidențiale (+10,4%), în terenuri (de 3,8 ori), în imobilizări corporale (drepturi de proprietate </w:t>
      </w:r>
      <w:proofErr w:type="spellStart"/>
      <w:r w:rsidRPr="00F7569C">
        <w:rPr>
          <w:sz w:val="24"/>
          <w:szCs w:val="24"/>
        </w:rPr>
        <w:t>inteectuală</w:t>
      </w:r>
      <w:proofErr w:type="spellEnd"/>
      <w:r w:rsidRPr="00F7569C">
        <w:rPr>
          <w:sz w:val="24"/>
          <w:szCs w:val="24"/>
        </w:rPr>
        <w:t xml:space="preserve">, cercetare-dezvoltare, programe informatice) (+46,4%). </w:t>
      </w:r>
    </w:p>
    <w:p w:rsidR="007F2051" w:rsidRPr="00F7569C" w:rsidRDefault="007F2051" w:rsidP="007F2051">
      <w:pPr>
        <w:spacing w:after="120"/>
        <w:jc w:val="both"/>
        <w:rPr>
          <w:sz w:val="24"/>
          <w:szCs w:val="24"/>
        </w:rPr>
      </w:pPr>
      <w:r w:rsidRPr="00F7569C">
        <w:rPr>
          <w:b/>
          <w:sz w:val="24"/>
          <w:szCs w:val="24"/>
        </w:rPr>
        <w:t>Investițiile private, care ocupă o cotă de circa 60% în totalul investițiilor, de asemenea, au crescut.</w:t>
      </w:r>
      <w:r w:rsidRPr="00F7569C">
        <w:rPr>
          <w:sz w:val="24"/>
          <w:szCs w:val="24"/>
        </w:rPr>
        <w:t xml:space="preserve"> În anul 2018, acestea au însumat 14,5 mild. lei, majorându-se cu 2,6%. Agenții economici și-au majorat investițiile, în special, în mijloace de transport, echipamente, mașini și utilaje, clădiri rezidențiale și nerezidențiale. Unul din factorii  principali care au asigurat creșterea investițiilor private a fost </w:t>
      </w:r>
      <w:r w:rsidRPr="00F7569C">
        <w:rPr>
          <w:i/>
          <w:sz w:val="24"/>
          <w:szCs w:val="24"/>
        </w:rPr>
        <w:t>creșterea volumului creditelor acordate</w:t>
      </w:r>
      <w:r w:rsidRPr="00F7569C">
        <w:rPr>
          <w:sz w:val="24"/>
          <w:szCs w:val="24"/>
        </w:rPr>
        <w:t xml:space="preserve"> sectorului privat, ca rezultat al îmbunătățirea situației creditare din economie. Volumul investițiilor finanțate din creditele interne au crescut 72,3% și au însumat 2,3 mild. lei. Circa 94% din această sumă a fost acordată sectorului privat. </w:t>
      </w:r>
    </w:p>
    <w:p w:rsidR="007F2051" w:rsidRDefault="007F2051" w:rsidP="007F2051">
      <w:pPr>
        <w:jc w:val="both"/>
        <w:rPr>
          <w:sz w:val="23"/>
          <w:szCs w:val="23"/>
        </w:rPr>
      </w:pPr>
      <w:r w:rsidRPr="00AF48AF">
        <w:rPr>
          <w:sz w:val="23"/>
          <w:szCs w:val="23"/>
        </w:rPr>
        <w:t>Totodată,</w:t>
      </w:r>
      <w:r>
        <w:rPr>
          <w:b/>
          <w:sz w:val="23"/>
          <w:szCs w:val="23"/>
        </w:rPr>
        <w:t xml:space="preserve"> investițiile din sursele organizațiilor internaționale</w:t>
      </w:r>
      <w:r>
        <w:rPr>
          <w:sz w:val="23"/>
          <w:szCs w:val="23"/>
        </w:rPr>
        <w:t xml:space="preserve"> acordate sub formă de granturi și asistență tehnică au înregistrat o diminuare de -7,1%. </w:t>
      </w:r>
    </w:p>
    <w:p w:rsidR="00C2068C" w:rsidRDefault="00C2068C" w:rsidP="007F2051">
      <w:pPr>
        <w:jc w:val="both"/>
        <w:rPr>
          <w:sz w:val="23"/>
          <w:szCs w:val="23"/>
        </w:rPr>
      </w:pPr>
    </w:p>
    <w:p w:rsidR="00C2068C" w:rsidRDefault="00C2068C" w:rsidP="007F2051">
      <w:pPr>
        <w:jc w:val="both"/>
        <w:rPr>
          <w:sz w:val="23"/>
          <w:szCs w:val="23"/>
        </w:rPr>
      </w:pPr>
    </w:p>
    <w:p w:rsidR="00C2068C" w:rsidRDefault="00C2068C" w:rsidP="007F2051">
      <w:pPr>
        <w:jc w:val="both"/>
        <w:rPr>
          <w:sz w:val="23"/>
          <w:szCs w:val="23"/>
        </w:rPr>
      </w:pPr>
    </w:p>
    <w:p w:rsidR="00C2068C" w:rsidRDefault="00C2068C" w:rsidP="007F2051">
      <w:pPr>
        <w:jc w:val="both"/>
        <w:rPr>
          <w:sz w:val="23"/>
          <w:szCs w:val="23"/>
        </w:rPr>
      </w:pPr>
    </w:p>
    <w:p w:rsidR="00C2068C" w:rsidRDefault="00C2068C" w:rsidP="007F2051">
      <w:pPr>
        <w:jc w:val="both"/>
        <w:rPr>
          <w:sz w:val="23"/>
          <w:szCs w:val="23"/>
        </w:rPr>
      </w:pPr>
    </w:p>
    <w:p w:rsidR="007F2051" w:rsidRDefault="007F2051" w:rsidP="007F2051">
      <w:pPr>
        <w:jc w:val="both"/>
        <w:rPr>
          <w:sz w:val="23"/>
          <w:szCs w:val="23"/>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86"/>
        <w:gridCol w:w="4741"/>
      </w:tblGrid>
      <w:tr w:rsidR="007F2051" w:rsidTr="005F6215">
        <w:tc>
          <w:tcPr>
            <w:tcW w:w="25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F2051" w:rsidRDefault="007F2051" w:rsidP="005F6215">
            <w:pPr>
              <w:jc w:val="center"/>
              <w:textAlignment w:val="baseline"/>
              <w:rPr>
                <w:i/>
                <w:szCs w:val="24"/>
                <w:lang w:eastAsia="x-none"/>
              </w:rPr>
            </w:pPr>
            <w:proofErr w:type="spellStart"/>
            <w:r>
              <w:rPr>
                <w:b/>
                <w:bCs/>
                <w:lang w:val="en-GB" w:eastAsia="en-US"/>
              </w:rPr>
              <w:lastRenderedPageBreak/>
              <w:t>Gradul</w:t>
            </w:r>
            <w:proofErr w:type="spellEnd"/>
            <w:r>
              <w:rPr>
                <w:b/>
                <w:bCs/>
                <w:lang w:val="en-GB" w:eastAsia="en-US"/>
              </w:rPr>
              <w:t xml:space="preserve"> de </w:t>
            </w:r>
            <w:proofErr w:type="spellStart"/>
            <w:r>
              <w:rPr>
                <w:b/>
                <w:bCs/>
                <w:lang w:val="en-GB" w:eastAsia="en-US"/>
              </w:rPr>
              <w:t>influiență</w:t>
            </w:r>
            <w:proofErr w:type="spellEnd"/>
            <w:r>
              <w:rPr>
                <w:b/>
                <w:bCs/>
                <w:lang w:val="en-GB" w:eastAsia="en-US"/>
              </w:rPr>
              <w:t xml:space="preserve"> </w:t>
            </w:r>
            <w:proofErr w:type="spellStart"/>
            <w:r>
              <w:rPr>
                <w:b/>
                <w:bCs/>
                <w:lang w:val="en-GB" w:eastAsia="en-US"/>
              </w:rPr>
              <w:t>asupra</w:t>
            </w:r>
            <w:proofErr w:type="spellEnd"/>
            <w:r>
              <w:rPr>
                <w:b/>
                <w:bCs/>
                <w:lang w:val="en-GB" w:eastAsia="en-US"/>
              </w:rPr>
              <w:t xml:space="preserve"> </w:t>
            </w:r>
            <w:proofErr w:type="spellStart"/>
            <w:r>
              <w:rPr>
                <w:b/>
                <w:bCs/>
                <w:lang w:val="en-GB" w:eastAsia="en-US"/>
              </w:rPr>
              <w:t>evoluției</w:t>
            </w:r>
            <w:proofErr w:type="spellEnd"/>
            <w:r>
              <w:rPr>
                <w:b/>
                <w:bCs/>
                <w:lang w:val="en-GB" w:eastAsia="en-US"/>
              </w:rPr>
              <w:t xml:space="preserve"> investiţiilor, </w:t>
            </w:r>
            <w:proofErr w:type="spellStart"/>
            <w:r>
              <w:rPr>
                <w:b/>
                <w:bCs/>
                <w:lang w:val="en-GB" w:eastAsia="en-US"/>
              </w:rPr>
              <w:t>pe</w:t>
            </w:r>
            <w:proofErr w:type="spellEnd"/>
            <w:r>
              <w:rPr>
                <w:b/>
                <w:bCs/>
                <w:lang w:val="en-GB" w:eastAsia="en-US"/>
              </w:rPr>
              <w:t xml:space="preserve"> </w:t>
            </w:r>
            <w:proofErr w:type="spellStart"/>
            <w:r>
              <w:rPr>
                <w:b/>
                <w:bCs/>
                <w:lang w:val="en-GB" w:eastAsia="en-US"/>
              </w:rPr>
              <w:t>surse</w:t>
            </w:r>
            <w:proofErr w:type="spellEnd"/>
            <w:r>
              <w:rPr>
                <w:b/>
                <w:bCs/>
                <w:lang w:val="en-GB" w:eastAsia="en-US"/>
              </w:rPr>
              <w:t xml:space="preserve"> de finanţare</w:t>
            </w:r>
            <w:proofErr w:type="gramStart"/>
            <w:r>
              <w:rPr>
                <w:b/>
                <w:bCs/>
                <w:lang w:val="en-GB" w:eastAsia="en-US"/>
              </w:rPr>
              <w:t xml:space="preserve">, </w:t>
            </w:r>
            <w:r>
              <w:rPr>
                <w:b/>
                <w:bCs/>
                <w:i/>
                <w:lang w:val="en-GB" w:eastAsia="en-US"/>
              </w:rPr>
              <w:t xml:space="preserve"> </w:t>
            </w:r>
            <w:proofErr w:type="spellStart"/>
            <w:r>
              <w:rPr>
                <w:bCs/>
                <w:i/>
                <w:lang w:val="en-GB" w:eastAsia="en-US"/>
              </w:rPr>
              <w:t>ianuarie</w:t>
            </w:r>
            <w:proofErr w:type="gramEnd"/>
            <w:r>
              <w:rPr>
                <w:bCs/>
                <w:i/>
                <w:lang w:val="en-GB" w:eastAsia="en-US"/>
              </w:rPr>
              <w:t>-septembrie</w:t>
            </w:r>
            <w:proofErr w:type="spellEnd"/>
            <w:r>
              <w:rPr>
                <w:bCs/>
                <w:i/>
                <w:lang w:val="en-GB" w:eastAsia="en-US"/>
              </w:rPr>
              <w:t xml:space="preserve"> 2018 p.p. </w:t>
            </w:r>
          </w:p>
          <w:p w:rsidR="007F2051" w:rsidRDefault="007F2051" w:rsidP="005F6215">
            <w:pPr>
              <w:jc w:val="center"/>
              <w:rPr>
                <w:i/>
                <w:sz w:val="24"/>
                <w:szCs w:val="24"/>
                <w:lang w:eastAsia="en-US"/>
              </w:rPr>
            </w:pPr>
            <w:r>
              <w:rPr>
                <w:bCs/>
                <w:i/>
                <w:iCs/>
                <w:szCs w:val="24"/>
                <w:lang w:eastAsia="x-none"/>
              </w:rPr>
              <w:t>(+ influență pozitivă; - influență negativă)</w:t>
            </w:r>
          </w:p>
        </w:tc>
        <w:tc>
          <w:tcPr>
            <w:tcW w:w="2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F2051" w:rsidRDefault="007F2051" w:rsidP="005F6215">
            <w:pPr>
              <w:jc w:val="center"/>
              <w:rPr>
                <w:b/>
                <w:bCs/>
                <w:lang w:val="en-GB" w:eastAsia="en-US"/>
              </w:rPr>
            </w:pPr>
            <w:proofErr w:type="spellStart"/>
            <w:r>
              <w:rPr>
                <w:b/>
                <w:bCs/>
                <w:lang w:val="en-GB" w:eastAsia="en-US"/>
              </w:rPr>
              <w:t>Structura</w:t>
            </w:r>
            <w:proofErr w:type="spellEnd"/>
            <w:r>
              <w:rPr>
                <w:b/>
                <w:bCs/>
                <w:lang w:val="en-GB" w:eastAsia="en-US"/>
              </w:rPr>
              <w:t xml:space="preserve"> </w:t>
            </w:r>
            <w:proofErr w:type="spellStart"/>
            <w:r>
              <w:rPr>
                <w:b/>
                <w:bCs/>
                <w:lang w:val="en-GB" w:eastAsia="en-US"/>
              </w:rPr>
              <w:t>investițiilor</w:t>
            </w:r>
            <w:proofErr w:type="spellEnd"/>
            <w:r>
              <w:rPr>
                <w:b/>
                <w:bCs/>
                <w:lang w:val="en-GB" w:eastAsia="en-US"/>
              </w:rPr>
              <w:t xml:space="preserve"> </w:t>
            </w:r>
            <w:proofErr w:type="spellStart"/>
            <w:r>
              <w:rPr>
                <w:b/>
                <w:bCs/>
                <w:lang w:val="en-GB" w:eastAsia="en-US"/>
              </w:rPr>
              <w:t>pe</w:t>
            </w:r>
            <w:proofErr w:type="spellEnd"/>
            <w:r>
              <w:rPr>
                <w:b/>
                <w:bCs/>
                <w:lang w:val="en-GB" w:eastAsia="en-US"/>
              </w:rPr>
              <w:t xml:space="preserve"> </w:t>
            </w:r>
            <w:proofErr w:type="spellStart"/>
            <w:r>
              <w:rPr>
                <w:b/>
                <w:bCs/>
                <w:lang w:val="en-GB" w:eastAsia="en-US"/>
              </w:rPr>
              <w:t>surse</w:t>
            </w:r>
            <w:proofErr w:type="spellEnd"/>
            <w:r>
              <w:rPr>
                <w:b/>
                <w:bCs/>
                <w:lang w:val="en-GB" w:eastAsia="en-US"/>
              </w:rPr>
              <w:t xml:space="preserve"> de finanţare,</w:t>
            </w:r>
          </w:p>
          <w:p w:rsidR="007F2051" w:rsidRDefault="007F2051" w:rsidP="005F6215">
            <w:pPr>
              <w:jc w:val="center"/>
              <w:rPr>
                <w:bCs/>
                <w:i/>
                <w:sz w:val="22"/>
                <w:lang w:val="en-GB" w:eastAsia="en-US"/>
              </w:rPr>
            </w:pPr>
            <w:proofErr w:type="spellStart"/>
            <w:r>
              <w:rPr>
                <w:bCs/>
                <w:i/>
                <w:lang w:val="en-GB" w:eastAsia="en-US"/>
              </w:rPr>
              <w:t>ianuarie-septembrie</w:t>
            </w:r>
            <w:proofErr w:type="spellEnd"/>
            <w:r>
              <w:rPr>
                <w:bCs/>
                <w:i/>
                <w:lang w:val="en-GB" w:eastAsia="en-US"/>
              </w:rPr>
              <w:t xml:space="preserve"> 2017-2018, %</w:t>
            </w:r>
          </w:p>
        </w:tc>
      </w:tr>
      <w:tr w:rsidR="007F2051" w:rsidTr="005F6215">
        <w:trPr>
          <w:trHeight w:val="5286"/>
        </w:trPr>
        <w:tc>
          <w:tcPr>
            <w:tcW w:w="25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F2051" w:rsidRDefault="007F2051" w:rsidP="005F6215">
            <w:pPr>
              <w:spacing w:after="120" w:line="254" w:lineRule="auto"/>
              <w:jc w:val="center"/>
              <w:rPr>
                <w:sz w:val="24"/>
                <w:szCs w:val="24"/>
                <w:lang w:eastAsia="en-US"/>
              </w:rPr>
            </w:pPr>
            <w:r>
              <w:rPr>
                <w:noProof/>
                <w:lang w:val="en-US" w:eastAsia="en-US"/>
              </w:rPr>
              <w:drawing>
                <wp:inline distT="0" distB="0" distL="0" distR="0" wp14:anchorId="532D0FF5" wp14:editId="02CA15C1">
                  <wp:extent cx="3048000" cy="3352800"/>
                  <wp:effectExtent l="0" t="0" r="0" b="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24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F2051" w:rsidRDefault="007F2051" w:rsidP="005F6215">
            <w:pPr>
              <w:spacing w:after="120" w:line="254" w:lineRule="auto"/>
              <w:jc w:val="center"/>
              <w:rPr>
                <w:sz w:val="24"/>
                <w:szCs w:val="24"/>
                <w:lang w:eastAsia="en-US"/>
              </w:rPr>
            </w:pPr>
            <w:r>
              <w:rPr>
                <w:noProof/>
                <w:lang w:val="en-US" w:eastAsia="en-US"/>
              </w:rPr>
              <w:drawing>
                <wp:inline distT="0" distB="0" distL="0" distR="0" wp14:anchorId="1DB1483C" wp14:editId="352CE557">
                  <wp:extent cx="2952750" cy="3457575"/>
                  <wp:effectExtent l="0" t="0" r="0" b="0"/>
                  <wp:docPr id="11"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bl>
    <w:p w:rsidR="007F2051" w:rsidRDefault="007F2051" w:rsidP="007F2051">
      <w:pPr>
        <w:jc w:val="center"/>
        <w:rPr>
          <w:sz w:val="24"/>
        </w:rPr>
      </w:pPr>
    </w:p>
    <w:p w:rsidR="00C2068C" w:rsidRDefault="00C2068C" w:rsidP="007F2051">
      <w:pPr>
        <w:jc w:val="center"/>
        <w:rPr>
          <w:sz w:val="24"/>
        </w:rPr>
      </w:pPr>
    </w:p>
    <w:p w:rsidR="007F2051" w:rsidRDefault="007F2051" w:rsidP="007F2051">
      <w:pPr>
        <w:jc w:val="center"/>
        <w:rPr>
          <w:sz w:val="24"/>
        </w:rPr>
      </w:pPr>
      <w:r>
        <w:rPr>
          <w:sz w:val="24"/>
        </w:rPr>
        <w:t>***</w:t>
      </w:r>
    </w:p>
    <w:p w:rsidR="007F2051" w:rsidRDefault="007F2051" w:rsidP="007F2051">
      <w:pPr>
        <w:jc w:val="both"/>
        <w:rPr>
          <w:sz w:val="24"/>
          <w:szCs w:val="24"/>
        </w:rPr>
      </w:pPr>
      <w:r>
        <w:rPr>
          <w:sz w:val="24"/>
          <w:szCs w:val="24"/>
        </w:rPr>
        <w:t>Analiza datelor</w:t>
      </w:r>
      <w:r>
        <w:rPr>
          <w:i/>
          <w:sz w:val="24"/>
          <w:szCs w:val="24"/>
        </w:rPr>
        <w:t xml:space="preserve"> </w:t>
      </w:r>
      <w:r>
        <w:rPr>
          <w:sz w:val="24"/>
          <w:szCs w:val="24"/>
        </w:rPr>
        <w:t xml:space="preserve">după </w:t>
      </w:r>
      <w:r>
        <w:rPr>
          <w:b/>
          <w:sz w:val="24"/>
          <w:szCs w:val="24"/>
        </w:rPr>
        <w:t>tipurile de active</w:t>
      </w:r>
      <w:r>
        <w:rPr>
          <w:i/>
          <w:sz w:val="24"/>
          <w:szCs w:val="24"/>
        </w:rPr>
        <w:t xml:space="preserve"> </w:t>
      </w:r>
      <w:r>
        <w:rPr>
          <w:sz w:val="24"/>
          <w:szCs w:val="24"/>
        </w:rPr>
        <w:t xml:space="preserve">arată că </w:t>
      </w:r>
      <w:r>
        <w:rPr>
          <w:i/>
          <w:sz w:val="24"/>
          <w:szCs w:val="24"/>
        </w:rPr>
        <w:t xml:space="preserve">investițiile în construcțiile inginerești </w:t>
      </w:r>
      <w:r>
        <w:rPr>
          <w:sz w:val="24"/>
          <w:szCs w:val="24"/>
        </w:rPr>
        <w:t>au contribuit cel mai mult la creșterea investițiilor înregistrată în 2018 (+5,1 p.p. sau 42% din creșterea totală). Acestea au crescut cu 28,2% și au însumat 5,0 mild. lei. Aceste investiții au crescut datorită majorării investițiilor din partea statului, în special, în infrastructura drumurilor, fapt demonstrat de creșterea cheltuielilor investiționale din fondul rutier (+16,2%).</w:t>
      </w:r>
    </w:p>
    <w:p w:rsidR="007F2051" w:rsidRDefault="007F2051" w:rsidP="007F2051">
      <w:pPr>
        <w:spacing w:before="120" w:after="120"/>
        <w:jc w:val="both"/>
        <w:rPr>
          <w:sz w:val="24"/>
          <w:szCs w:val="24"/>
        </w:rPr>
      </w:pPr>
      <w:r>
        <w:rPr>
          <w:sz w:val="24"/>
          <w:szCs w:val="24"/>
        </w:rPr>
        <w:t xml:space="preserve">De asemenea, o contribuție esențială la creșterea investițiilor totale a fost exercitată de majorarea </w:t>
      </w:r>
      <w:r>
        <w:rPr>
          <w:i/>
          <w:sz w:val="24"/>
          <w:szCs w:val="24"/>
        </w:rPr>
        <w:t>investițiilor în mașini, instalații și utilaje de producere</w:t>
      </w:r>
      <w:r>
        <w:rPr>
          <w:sz w:val="24"/>
          <w:szCs w:val="24"/>
        </w:rPr>
        <w:t xml:space="preserve"> (+2,0 p.p. sau 16% din creșterea totală). Acestea au crescut cu 6,1%, însumând circa 7,3 mild. lei. Extinderea investiţiilor în aceste tipuri de active s-a datorat contribuției sectorului privat, care a fost stimulat pe de o parte de situația creditară favorabilă din economie, pe de altă parte de necesitatea de a-și reutila procesele de producere pentru creșterea competitivității producției și valorificarea oportunităților de export oferite de Acordul de Asociere cu UE.</w:t>
      </w:r>
    </w:p>
    <w:p w:rsidR="007F2051" w:rsidRDefault="007F2051" w:rsidP="007F2051">
      <w:pPr>
        <w:spacing w:before="120" w:after="120"/>
        <w:jc w:val="both"/>
        <w:rPr>
          <w:sz w:val="24"/>
          <w:szCs w:val="24"/>
        </w:rPr>
      </w:pPr>
      <w:r>
        <w:rPr>
          <w:sz w:val="24"/>
          <w:szCs w:val="24"/>
        </w:rPr>
        <w:t>Investiții</w:t>
      </w:r>
      <w:r>
        <w:rPr>
          <w:i/>
          <w:sz w:val="24"/>
          <w:szCs w:val="24"/>
        </w:rPr>
        <w:t xml:space="preserve"> </w:t>
      </w:r>
      <w:r>
        <w:rPr>
          <w:sz w:val="24"/>
          <w:szCs w:val="24"/>
        </w:rPr>
        <w:t>importante au fost efectuate</w:t>
      </w:r>
      <w:r>
        <w:rPr>
          <w:i/>
          <w:sz w:val="24"/>
          <w:szCs w:val="24"/>
        </w:rPr>
        <w:t xml:space="preserve"> în mijloace de transport. </w:t>
      </w:r>
      <w:r>
        <w:rPr>
          <w:sz w:val="24"/>
          <w:szCs w:val="24"/>
        </w:rPr>
        <w:t xml:space="preserve"> Acestea au însumat circa 2,2 mild. lei, fiind în creștere cu 18,7% și contribuind cu circa 1,6 p.p. la creșterea investițiilor totale. Investiții în creștere în mijloace de transport au fost efectuate în special de către sectorul privat.</w:t>
      </w:r>
    </w:p>
    <w:p w:rsidR="007F2051" w:rsidRDefault="007F2051" w:rsidP="007F2051">
      <w:pPr>
        <w:spacing w:before="120" w:after="120"/>
        <w:jc w:val="both"/>
        <w:rPr>
          <w:sz w:val="24"/>
          <w:szCs w:val="24"/>
        </w:rPr>
      </w:pPr>
      <w:r>
        <w:rPr>
          <w:sz w:val="24"/>
          <w:szCs w:val="24"/>
        </w:rPr>
        <w:t xml:space="preserve">De asemenea, au </w:t>
      </w:r>
      <w:r>
        <w:rPr>
          <w:i/>
          <w:sz w:val="24"/>
          <w:szCs w:val="24"/>
        </w:rPr>
        <w:t>crescut investițiile în terenuri</w:t>
      </w:r>
      <w:r>
        <w:rPr>
          <w:sz w:val="24"/>
          <w:szCs w:val="24"/>
        </w:rPr>
        <w:t xml:space="preserve"> cu circa 39,4%, însumând 807,8 mil. lei. Au sporit, în special, investițiile în terenuri din partea statului (de 3,8 ori).</w:t>
      </w:r>
    </w:p>
    <w:p w:rsidR="007F2051" w:rsidRDefault="007F2051" w:rsidP="007F2051">
      <w:pPr>
        <w:spacing w:before="120" w:after="120"/>
        <w:jc w:val="both"/>
        <w:rPr>
          <w:sz w:val="24"/>
          <w:szCs w:val="24"/>
        </w:rPr>
      </w:pPr>
      <w:r>
        <w:rPr>
          <w:sz w:val="24"/>
          <w:szCs w:val="24"/>
        </w:rPr>
        <w:t xml:space="preserve">Investițiile </w:t>
      </w:r>
      <w:r>
        <w:rPr>
          <w:i/>
          <w:sz w:val="24"/>
          <w:szCs w:val="24"/>
        </w:rPr>
        <w:t>în imobilizări necorporale</w:t>
      </w:r>
      <w:r>
        <w:rPr>
          <w:sz w:val="24"/>
          <w:szCs w:val="24"/>
        </w:rPr>
        <w:t xml:space="preserve"> au continuat să crească în 2018. Acestea au înregistrat o majorare cu 34,6%, inclusiv în programe informatice – cu 23,7%, în drepturi de proprietate intelectuală – de 3,2 ori, în cercetare-dezvoltare – de 1,9 ori. </w:t>
      </w:r>
    </w:p>
    <w:p w:rsidR="007F2051" w:rsidRDefault="007F2051" w:rsidP="007F2051">
      <w:pPr>
        <w:spacing w:before="120" w:after="120"/>
        <w:jc w:val="both"/>
        <w:rPr>
          <w:sz w:val="24"/>
          <w:szCs w:val="24"/>
        </w:rPr>
      </w:pPr>
      <w:r>
        <w:rPr>
          <w:sz w:val="24"/>
          <w:szCs w:val="24"/>
        </w:rPr>
        <w:t xml:space="preserve">Pe parcursul anului 2018 au scăzut </w:t>
      </w:r>
      <w:r>
        <w:rPr>
          <w:i/>
          <w:sz w:val="24"/>
          <w:szCs w:val="24"/>
        </w:rPr>
        <w:t xml:space="preserve">investițiile în active biologice imobilizate, </w:t>
      </w:r>
      <w:r>
        <w:rPr>
          <w:sz w:val="24"/>
          <w:szCs w:val="24"/>
        </w:rPr>
        <w:t>fapt ce reprezintă un impedi</w:t>
      </w:r>
      <w:r w:rsidRPr="003D3677">
        <w:rPr>
          <w:sz w:val="24"/>
          <w:szCs w:val="24"/>
        </w:rPr>
        <w:t>ment în</w:t>
      </w:r>
      <w:r>
        <w:rPr>
          <w:sz w:val="24"/>
          <w:szCs w:val="24"/>
        </w:rPr>
        <w:t xml:space="preserve"> dezvoltarea sectorului agricol și zootehnic. Acestea au însumat în total 152,7 mil. lei și au diminuat cu 37,1%.</w:t>
      </w:r>
    </w:p>
    <w:p w:rsidR="00C2068C" w:rsidRDefault="00C2068C" w:rsidP="007F2051">
      <w:pPr>
        <w:spacing w:before="120" w:after="120"/>
        <w:jc w:val="both"/>
        <w:rPr>
          <w:sz w:val="24"/>
          <w:szCs w:val="24"/>
        </w:rPr>
      </w:pPr>
    </w:p>
    <w:p w:rsidR="00C2068C" w:rsidRDefault="00C2068C" w:rsidP="007F2051">
      <w:pPr>
        <w:spacing w:before="120" w:after="120"/>
        <w:jc w:val="both"/>
        <w:rPr>
          <w:sz w:val="24"/>
          <w:szCs w:val="24"/>
        </w:rPr>
      </w:pPr>
    </w:p>
    <w:tbl>
      <w:tblPr>
        <w:tblW w:w="5091" w:type="pct"/>
        <w:tblInd w:w="-176" w:type="dxa"/>
        <w:tblBorders>
          <w:top w:val="single" w:sz="4" w:space="0" w:color="808080" w:themeColor="background1" w:themeShade="80"/>
          <w:left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54"/>
        <w:gridCol w:w="4749"/>
      </w:tblGrid>
      <w:tr w:rsidR="007F2051" w:rsidTr="00C2068C">
        <w:trPr>
          <w:trHeight w:val="709"/>
        </w:trPr>
        <w:tc>
          <w:tcPr>
            <w:tcW w:w="25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F2051" w:rsidRDefault="007F2051" w:rsidP="005F6215">
            <w:pPr>
              <w:spacing w:before="120"/>
              <w:jc w:val="center"/>
              <w:textAlignment w:val="baseline"/>
              <w:rPr>
                <w:i/>
                <w:szCs w:val="24"/>
                <w:lang w:eastAsia="x-none"/>
              </w:rPr>
            </w:pPr>
            <w:proofErr w:type="spellStart"/>
            <w:r>
              <w:rPr>
                <w:b/>
                <w:bCs/>
                <w:lang w:val="en-GB" w:eastAsia="en-US"/>
              </w:rPr>
              <w:lastRenderedPageBreak/>
              <w:t>Gradul</w:t>
            </w:r>
            <w:proofErr w:type="spellEnd"/>
            <w:r>
              <w:rPr>
                <w:b/>
                <w:bCs/>
                <w:lang w:val="en-GB" w:eastAsia="en-US"/>
              </w:rPr>
              <w:t xml:space="preserve"> de </w:t>
            </w:r>
            <w:proofErr w:type="spellStart"/>
            <w:r>
              <w:rPr>
                <w:b/>
                <w:bCs/>
                <w:lang w:val="en-GB" w:eastAsia="en-US"/>
              </w:rPr>
              <w:t>influiență</w:t>
            </w:r>
            <w:proofErr w:type="spellEnd"/>
            <w:r>
              <w:rPr>
                <w:b/>
                <w:bCs/>
                <w:lang w:val="en-GB" w:eastAsia="en-US"/>
              </w:rPr>
              <w:t xml:space="preserve"> </w:t>
            </w:r>
            <w:proofErr w:type="spellStart"/>
            <w:r>
              <w:rPr>
                <w:b/>
                <w:bCs/>
                <w:lang w:val="en-GB" w:eastAsia="en-US"/>
              </w:rPr>
              <w:t>asupra</w:t>
            </w:r>
            <w:proofErr w:type="spellEnd"/>
            <w:r>
              <w:rPr>
                <w:b/>
                <w:bCs/>
                <w:lang w:val="en-GB" w:eastAsia="en-US"/>
              </w:rPr>
              <w:t xml:space="preserve"> </w:t>
            </w:r>
            <w:proofErr w:type="spellStart"/>
            <w:r>
              <w:rPr>
                <w:b/>
                <w:bCs/>
                <w:lang w:val="en-GB" w:eastAsia="en-US"/>
              </w:rPr>
              <w:t>evoluției</w:t>
            </w:r>
            <w:proofErr w:type="spellEnd"/>
            <w:r>
              <w:rPr>
                <w:b/>
                <w:bCs/>
                <w:lang w:val="en-GB" w:eastAsia="en-US"/>
              </w:rPr>
              <w:t xml:space="preserve"> investiţiilor, </w:t>
            </w:r>
            <w:proofErr w:type="spellStart"/>
            <w:r>
              <w:rPr>
                <w:b/>
                <w:bCs/>
                <w:lang w:val="en-GB" w:eastAsia="en-US"/>
              </w:rPr>
              <w:t>pe</w:t>
            </w:r>
            <w:proofErr w:type="spellEnd"/>
            <w:r>
              <w:rPr>
                <w:b/>
                <w:bCs/>
                <w:lang w:val="en-GB" w:eastAsia="en-US"/>
              </w:rPr>
              <w:t xml:space="preserve"> </w:t>
            </w:r>
            <w:proofErr w:type="spellStart"/>
            <w:r>
              <w:rPr>
                <w:b/>
                <w:bCs/>
                <w:lang w:val="en-GB" w:eastAsia="en-US"/>
              </w:rPr>
              <w:t>tipuri</w:t>
            </w:r>
            <w:proofErr w:type="spellEnd"/>
            <w:r>
              <w:rPr>
                <w:b/>
                <w:bCs/>
                <w:lang w:val="en-GB" w:eastAsia="en-US"/>
              </w:rPr>
              <w:t xml:space="preserve"> de active, </w:t>
            </w:r>
            <w:proofErr w:type="spellStart"/>
            <w:r>
              <w:rPr>
                <w:bCs/>
                <w:i/>
                <w:lang w:val="en-GB" w:eastAsia="en-US"/>
              </w:rPr>
              <w:t>ianuarie-septembrie</w:t>
            </w:r>
            <w:proofErr w:type="spellEnd"/>
            <w:r>
              <w:rPr>
                <w:bCs/>
                <w:i/>
                <w:lang w:val="en-GB" w:eastAsia="en-US"/>
              </w:rPr>
              <w:t xml:space="preserve"> 2018 p.p. </w:t>
            </w:r>
          </w:p>
          <w:p w:rsidR="007F2051" w:rsidRDefault="007F2051" w:rsidP="005F6215">
            <w:pPr>
              <w:jc w:val="center"/>
              <w:rPr>
                <w:b/>
                <w:bCs/>
                <w:lang w:val="en-GB" w:eastAsia="en-US"/>
              </w:rPr>
            </w:pPr>
            <w:r>
              <w:rPr>
                <w:bCs/>
                <w:i/>
                <w:iCs/>
                <w:szCs w:val="24"/>
                <w:lang w:eastAsia="x-none"/>
              </w:rPr>
              <w:t>(+ influență pozitivă; - influență negativă)</w:t>
            </w:r>
          </w:p>
        </w:tc>
        <w:tc>
          <w:tcPr>
            <w:tcW w:w="24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F2051" w:rsidRDefault="007F2051" w:rsidP="005F6215">
            <w:pPr>
              <w:jc w:val="center"/>
              <w:rPr>
                <w:b/>
                <w:bCs/>
                <w:lang w:val="en-GB" w:eastAsia="en-US"/>
              </w:rPr>
            </w:pPr>
            <w:proofErr w:type="spellStart"/>
            <w:r>
              <w:rPr>
                <w:b/>
                <w:bCs/>
                <w:lang w:val="en-GB" w:eastAsia="en-US"/>
              </w:rPr>
              <w:t>Structura</w:t>
            </w:r>
            <w:proofErr w:type="spellEnd"/>
            <w:r>
              <w:rPr>
                <w:b/>
                <w:bCs/>
                <w:lang w:val="en-GB" w:eastAsia="en-US"/>
              </w:rPr>
              <w:t xml:space="preserve"> </w:t>
            </w:r>
            <w:proofErr w:type="spellStart"/>
            <w:r>
              <w:rPr>
                <w:b/>
                <w:bCs/>
                <w:lang w:val="en-GB" w:eastAsia="en-US"/>
              </w:rPr>
              <w:t>investițiilor</w:t>
            </w:r>
            <w:proofErr w:type="spellEnd"/>
            <w:r>
              <w:rPr>
                <w:b/>
                <w:bCs/>
                <w:lang w:val="en-GB" w:eastAsia="en-US"/>
              </w:rPr>
              <w:t xml:space="preserve"> </w:t>
            </w:r>
            <w:proofErr w:type="spellStart"/>
            <w:r>
              <w:rPr>
                <w:b/>
                <w:bCs/>
                <w:lang w:val="en-GB" w:eastAsia="en-US"/>
              </w:rPr>
              <w:t>pe</w:t>
            </w:r>
            <w:proofErr w:type="spellEnd"/>
            <w:r>
              <w:rPr>
                <w:b/>
                <w:bCs/>
                <w:lang w:val="en-GB" w:eastAsia="en-US"/>
              </w:rPr>
              <w:t xml:space="preserve"> </w:t>
            </w:r>
            <w:proofErr w:type="spellStart"/>
            <w:r>
              <w:rPr>
                <w:b/>
                <w:bCs/>
                <w:lang w:val="en-GB" w:eastAsia="en-US"/>
              </w:rPr>
              <w:t>tipuri</w:t>
            </w:r>
            <w:proofErr w:type="spellEnd"/>
            <w:r>
              <w:rPr>
                <w:b/>
                <w:bCs/>
                <w:lang w:val="en-GB" w:eastAsia="en-US"/>
              </w:rPr>
              <w:t xml:space="preserve"> de active,</w:t>
            </w:r>
          </w:p>
          <w:p w:rsidR="007F2051" w:rsidRDefault="007F2051" w:rsidP="005F6215">
            <w:pPr>
              <w:jc w:val="center"/>
              <w:rPr>
                <w:sz w:val="24"/>
                <w:szCs w:val="24"/>
                <w:lang w:eastAsia="en-US"/>
              </w:rPr>
            </w:pPr>
            <w:proofErr w:type="spellStart"/>
            <w:r>
              <w:rPr>
                <w:bCs/>
                <w:i/>
                <w:lang w:val="en-GB" w:eastAsia="en-US"/>
              </w:rPr>
              <w:t>ianuarie-septembrie</w:t>
            </w:r>
            <w:proofErr w:type="spellEnd"/>
            <w:r>
              <w:rPr>
                <w:bCs/>
                <w:i/>
                <w:lang w:val="en-GB" w:eastAsia="en-US"/>
              </w:rPr>
              <w:t xml:space="preserve"> 2017-2018, %</w:t>
            </w:r>
          </w:p>
        </w:tc>
      </w:tr>
      <w:tr w:rsidR="007F2051" w:rsidTr="00C2068C">
        <w:trPr>
          <w:trHeight w:val="4287"/>
        </w:trPr>
        <w:tc>
          <w:tcPr>
            <w:tcW w:w="25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F2051" w:rsidRDefault="007F2051" w:rsidP="005F6215">
            <w:pPr>
              <w:spacing w:after="120" w:line="254" w:lineRule="auto"/>
              <w:jc w:val="center"/>
              <w:rPr>
                <w:sz w:val="24"/>
                <w:szCs w:val="24"/>
                <w:lang w:eastAsia="en-US"/>
              </w:rPr>
            </w:pPr>
            <w:r>
              <w:rPr>
                <w:noProof/>
                <w:lang w:val="en-US" w:eastAsia="en-US"/>
              </w:rPr>
              <w:drawing>
                <wp:inline distT="0" distB="0" distL="0" distR="0" wp14:anchorId="16670649" wp14:editId="0968E388">
                  <wp:extent cx="3181350" cy="3000375"/>
                  <wp:effectExtent l="0" t="0" r="0" b="0"/>
                  <wp:docPr id="14"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24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F2051" w:rsidRDefault="007F2051" w:rsidP="005F6215">
            <w:pPr>
              <w:spacing w:after="120" w:line="254" w:lineRule="auto"/>
              <w:jc w:val="center"/>
              <w:rPr>
                <w:sz w:val="24"/>
                <w:szCs w:val="24"/>
                <w:lang w:eastAsia="en-US"/>
              </w:rPr>
            </w:pPr>
            <w:r>
              <w:rPr>
                <w:noProof/>
                <w:lang w:val="en-US" w:eastAsia="en-US"/>
              </w:rPr>
              <w:drawing>
                <wp:inline distT="0" distB="0" distL="0" distR="0" wp14:anchorId="17ED970D" wp14:editId="10C87B82">
                  <wp:extent cx="2981325" cy="3000375"/>
                  <wp:effectExtent l="0" t="0" r="0" b="0"/>
                  <wp:docPr id="17"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7F2051" w:rsidRPr="006A4664" w:rsidTr="00C2068C">
        <w:trPr>
          <w:trHeight w:val="348"/>
        </w:trPr>
        <w:tc>
          <w:tcPr>
            <w:tcW w:w="5000" w:type="pct"/>
            <w:gridSpan w:val="2"/>
            <w:tcBorders>
              <w:top w:val="single" w:sz="4" w:space="0" w:color="808080" w:themeColor="background1" w:themeShade="80"/>
              <w:left w:val="nil"/>
              <w:bottom w:val="nil"/>
              <w:right w:val="nil"/>
            </w:tcBorders>
            <w:hideMark/>
          </w:tcPr>
          <w:p w:rsidR="007F2051" w:rsidRDefault="007F2051" w:rsidP="005F6215">
            <w:pPr>
              <w:spacing w:after="120" w:line="254" w:lineRule="auto"/>
              <w:jc w:val="both"/>
              <w:rPr>
                <w:lang w:val="en-GB" w:eastAsia="en-US"/>
              </w:rPr>
            </w:pPr>
            <w:r>
              <w:rPr>
                <w:i/>
                <w:lang w:eastAsia="en-US"/>
              </w:rPr>
              <w:t>Sursa: Biroul Naţional de Statistică, calculele Ministerului Economiei și Infrastructurii</w:t>
            </w:r>
          </w:p>
        </w:tc>
      </w:tr>
    </w:tbl>
    <w:p w:rsidR="007F2051" w:rsidRPr="008822B0" w:rsidRDefault="007F2051" w:rsidP="007F2051">
      <w:pPr>
        <w:spacing w:before="120" w:after="120"/>
        <w:jc w:val="both"/>
        <w:rPr>
          <w:sz w:val="24"/>
          <w:szCs w:val="24"/>
        </w:rPr>
      </w:pPr>
      <w:r w:rsidRPr="008822B0">
        <w:rPr>
          <w:b/>
          <w:sz w:val="24"/>
          <w:szCs w:val="24"/>
        </w:rPr>
        <w:t>Sectorul construcțiilor s-a revigorat în 2018.</w:t>
      </w:r>
      <w:r w:rsidRPr="008822B0">
        <w:rPr>
          <w:sz w:val="24"/>
          <w:szCs w:val="24"/>
        </w:rPr>
        <w:t xml:space="preserve"> Volumul investițiilor în sectorul construcțiilor a crescut cu 13,5%, însumând în total 11,3 mild. lei.  Au sporit investițiile în clădiri nerezidențiale (+8,7%), rezidențiale (+1,7%) și investițiile în construcțiile inginerești (+28,2%). În același timp, întreprinderile cu genul principal de activitate „Construcţii” au efectuat lucrări în antrepriză în valoare de 11,1 mild. lei, cu 14,5% mai mult, înregistrând creșteri ale investițiilor în toate tipurile de active: clădiri rezidențiale (+7,4%), clădiri nerezidențiale (+11,8%) și construcții inginerești (+20,3%). După tipurile de lucrări efectuate de agenții economici respectivi, au crescut volumul lucrărilor de construcţii noi (+9,3%), lucrările de reparații capitale (+25,7%), lucrările de întreținere și reparații curente (+13,7%). </w:t>
      </w:r>
    </w:p>
    <w:p w:rsidR="007F2051" w:rsidRPr="008822B0" w:rsidRDefault="007F2051" w:rsidP="007F2051">
      <w:pPr>
        <w:jc w:val="both"/>
        <w:rPr>
          <w:b/>
          <w:bCs/>
          <w:color w:val="000000" w:themeColor="text1"/>
          <w:sz w:val="24"/>
          <w:szCs w:val="24"/>
        </w:rPr>
      </w:pPr>
      <w:r w:rsidRPr="008822B0">
        <w:rPr>
          <w:sz w:val="24"/>
          <w:szCs w:val="24"/>
        </w:rPr>
        <w:t>De menționat că, în ianuarie-septembrie 2018 au fost date în exploatare 6008 locuințe (apartamente și case individuale de locuit), cu o suprafață de 471,6 mii m², cu 17,5% mai puţin față de perioada similară a anului precedent.</w:t>
      </w:r>
    </w:p>
    <w:p w:rsidR="007F2051" w:rsidRPr="00667A84" w:rsidRDefault="007F2051" w:rsidP="007F2051">
      <w:pPr>
        <w:jc w:val="both"/>
        <w:rPr>
          <w:b/>
          <w:bCs/>
          <w:color w:val="000000" w:themeColor="text1"/>
          <w:sz w:val="24"/>
          <w:szCs w:val="24"/>
          <w:u w:val="single"/>
        </w:rPr>
      </w:pPr>
    </w:p>
    <w:p w:rsidR="007F2051" w:rsidRDefault="007F2051" w:rsidP="007F2051">
      <w:pPr>
        <w:jc w:val="both"/>
        <w:rPr>
          <w:b/>
          <w:bCs/>
          <w:color w:val="000000" w:themeColor="text1"/>
          <w:sz w:val="24"/>
          <w:szCs w:val="24"/>
          <w:u w:val="single"/>
        </w:rPr>
      </w:pPr>
    </w:p>
    <w:p w:rsidR="00C2068C" w:rsidRDefault="00C2068C" w:rsidP="007F2051">
      <w:pPr>
        <w:jc w:val="both"/>
        <w:rPr>
          <w:b/>
          <w:bCs/>
          <w:color w:val="000000" w:themeColor="text1"/>
          <w:sz w:val="24"/>
          <w:szCs w:val="24"/>
          <w:u w:val="single"/>
        </w:rPr>
      </w:pPr>
    </w:p>
    <w:p w:rsidR="00C2068C" w:rsidRPr="00667A84" w:rsidRDefault="00C2068C" w:rsidP="007F2051">
      <w:pPr>
        <w:jc w:val="both"/>
        <w:rPr>
          <w:b/>
          <w:bCs/>
          <w:color w:val="000000" w:themeColor="text1"/>
          <w:sz w:val="24"/>
          <w:szCs w:val="24"/>
          <w:u w:val="single"/>
        </w:rPr>
      </w:pPr>
    </w:p>
    <w:p w:rsidR="007F2051" w:rsidRPr="00B8113F" w:rsidRDefault="007F2051" w:rsidP="007F2051">
      <w:pPr>
        <w:jc w:val="both"/>
        <w:rPr>
          <w:b/>
          <w:bCs/>
          <w:color w:val="000000" w:themeColor="text1"/>
          <w:sz w:val="24"/>
          <w:szCs w:val="24"/>
        </w:rPr>
      </w:pPr>
      <w:r w:rsidRPr="00B8113F">
        <w:rPr>
          <w:b/>
          <w:bCs/>
          <w:color w:val="000000" w:themeColor="text1"/>
          <w:sz w:val="24"/>
          <w:szCs w:val="24"/>
        </w:rPr>
        <w:t>Transportul</w:t>
      </w:r>
    </w:p>
    <w:p w:rsidR="007F2051" w:rsidRPr="00B8113F" w:rsidRDefault="007F2051" w:rsidP="007F2051">
      <w:pPr>
        <w:jc w:val="both"/>
        <w:rPr>
          <w:b/>
          <w:bCs/>
          <w:color w:val="000000" w:themeColor="text1"/>
          <w:sz w:val="24"/>
          <w:szCs w:val="24"/>
          <w:u w:val="single"/>
        </w:rPr>
      </w:pPr>
    </w:p>
    <w:p w:rsidR="007F2051" w:rsidRPr="00B8113F" w:rsidRDefault="007F2051" w:rsidP="007F2051">
      <w:pPr>
        <w:jc w:val="both"/>
        <w:rPr>
          <w:sz w:val="24"/>
          <w:szCs w:val="24"/>
        </w:rPr>
      </w:pPr>
      <w:r w:rsidRPr="00B8113F">
        <w:rPr>
          <w:b/>
          <w:bCs/>
          <w:sz w:val="24"/>
          <w:szCs w:val="24"/>
        </w:rPr>
        <w:t xml:space="preserve">Volumul mărfurilor transportate în anul 2018 a crescut cu 10%, însumând 19,4 mil. tone. </w:t>
      </w:r>
      <w:r w:rsidRPr="00B8113F">
        <w:rPr>
          <w:bCs/>
          <w:sz w:val="24"/>
          <w:szCs w:val="24"/>
        </w:rPr>
        <w:t>Cu excepţia transportului fluvial,</w:t>
      </w:r>
      <w:r w:rsidRPr="00B8113F">
        <w:rPr>
          <w:b/>
          <w:bCs/>
          <w:sz w:val="24"/>
          <w:szCs w:val="24"/>
        </w:rPr>
        <w:t xml:space="preserve"> c</w:t>
      </w:r>
      <w:r w:rsidRPr="00B8113F">
        <w:rPr>
          <w:sz w:val="24"/>
          <w:szCs w:val="24"/>
        </w:rPr>
        <w:t xml:space="preserve">reșteri ale volumului mărfurilor transportate au fost înregistrate în cazul tuturor mijloacelor de transport: transportul aerian – cu 25,2%, transportul rutier – cu 12,8%, transportul feroviar – cu 2,8%. Transportul fluvial, după 5 luni de recesiune consecutivă, a ajuns la finele anului 2018 la un rezultat cumulativ negativ  (-5,8%). </w:t>
      </w:r>
    </w:p>
    <w:p w:rsidR="007F2051" w:rsidRPr="00B8113F" w:rsidRDefault="007F2051" w:rsidP="007F2051">
      <w:pPr>
        <w:jc w:val="both"/>
        <w:rPr>
          <w:sz w:val="24"/>
          <w:szCs w:val="24"/>
          <w:u w:val="single"/>
        </w:rPr>
      </w:pPr>
    </w:p>
    <w:p w:rsidR="007F2051" w:rsidRDefault="007F2051" w:rsidP="007F2051">
      <w:pPr>
        <w:jc w:val="both"/>
        <w:rPr>
          <w:bCs/>
          <w:sz w:val="24"/>
          <w:szCs w:val="24"/>
        </w:rPr>
      </w:pPr>
      <w:r w:rsidRPr="00B8113F">
        <w:rPr>
          <w:bCs/>
          <w:sz w:val="24"/>
          <w:szCs w:val="24"/>
        </w:rPr>
        <w:t>Cea mai mare influență asupra creșterii înregistrate în 2018 a fost asigurată de transportul auto, urmat de cel feroviar, fapt determinat de ponderea semnificativă a acestora în structura serviciilor de transport (74% din volumul serviciilor este ocupat de transportul rutier și 25% - de transportul feroviar).</w:t>
      </w:r>
    </w:p>
    <w:p w:rsidR="00C2068C" w:rsidRDefault="00C2068C" w:rsidP="007F2051">
      <w:pPr>
        <w:jc w:val="both"/>
        <w:rPr>
          <w:bCs/>
          <w:sz w:val="24"/>
          <w:szCs w:val="24"/>
        </w:rPr>
      </w:pPr>
    </w:p>
    <w:p w:rsidR="00C2068C" w:rsidRPr="00B8113F" w:rsidRDefault="00C2068C" w:rsidP="007F2051">
      <w:pPr>
        <w:jc w:val="both"/>
        <w:rPr>
          <w:bCs/>
          <w:sz w:val="24"/>
          <w:szCs w:val="24"/>
        </w:rPr>
      </w:pPr>
    </w:p>
    <w:p w:rsidR="007F2051" w:rsidRPr="00B8113F" w:rsidRDefault="007F2051" w:rsidP="007F2051">
      <w:pPr>
        <w:jc w:val="both"/>
        <w:rPr>
          <w:bCs/>
          <w:sz w:val="24"/>
          <w:szCs w:val="24"/>
          <w:u w:val="single"/>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single" w:sz="4" w:space="0" w:color="A6A6A6" w:themeColor="background1" w:themeShade="A6"/>
        </w:tblBorders>
        <w:tblLook w:val="04A0" w:firstRow="1" w:lastRow="0" w:firstColumn="1" w:lastColumn="0" w:noHBand="0" w:noVBand="1"/>
      </w:tblPr>
      <w:tblGrid>
        <w:gridCol w:w="4873"/>
        <w:gridCol w:w="4754"/>
      </w:tblGrid>
      <w:tr w:rsidR="007F2051" w:rsidRPr="001816B0" w:rsidTr="005F6215">
        <w:tc>
          <w:tcPr>
            <w:tcW w:w="4873" w:type="dxa"/>
          </w:tcPr>
          <w:p w:rsidR="007F2051" w:rsidRPr="001816B0" w:rsidRDefault="007F2051" w:rsidP="005F6215">
            <w:pPr>
              <w:spacing w:before="120"/>
              <w:jc w:val="center"/>
              <w:rPr>
                <w:b/>
                <w:i/>
                <w:lang w:eastAsia="x-none"/>
              </w:rPr>
            </w:pPr>
            <w:r w:rsidRPr="001816B0">
              <w:rPr>
                <w:b/>
                <w:i/>
                <w:lang w:eastAsia="x-none"/>
              </w:rPr>
              <w:lastRenderedPageBreak/>
              <w:t xml:space="preserve">Evoluţia lunară a transportului de mărfuri, </w:t>
            </w:r>
          </w:p>
          <w:p w:rsidR="007F2051" w:rsidRPr="001816B0" w:rsidRDefault="007F2051" w:rsidP="005F6215">
            <w:pPr>
              <w:jc w:val="center"/>
              <w:rPr>
                <w:i/>
                <w:lang w:eastAsia="x-none"/>
              </w:rPr>
            </w:pPr>
            <w:r w:rsidRPr="001816B0">
              <w:rPr>
                <w:i/>
                <w:lang w:eastAsia="x-none"/>
              </w:rPr>
              <w:t>% faţă de luna corespunzătoare a anului precedent</w:t>
            </w:r>
          </w:p>
        </w:tc>
        <w:tc>
          <w:tcPr>
            <w:tcW w:w="4754" w:type="dxa"/>
          </w:tcPr>
          <w:p w:rsidR="007F2051" w:rsidRPr="001816B0" w:rsidRDefault="007F2051" w:rsidP="005F6215">
            <w:pPr>
              <w:spacing w:before="120"/>
              <w:jc w:val="center"/>
              <w:rPr>
                <w:b/>
                <w:i/>
                <w:lang w:eastAsia="x-none"/>
              </w:rPr>
            </w:pPr>
            <w:r w:rsidRPr="001816B0">
              <w:rPr>
                <w:b/>
                <w:i/>
                <w:lang w:eastAsia="x-none"/>
              </w:rPr>
              <w:t>Structura transportului de mărfuri în evoluție 2006-2018, %</w:t>
            </w:r>
          </w:p>
        </w:tc>
      </w:tr>
      <w:tr w:rsidR="007F2051" w:rsidRPr="00B8113F" w:rsidTr="005F6215">
        <w:tc>
          <w:tcPr>
            <w:tcW w:w="4873" w:type="dxa"/>
          </w:tcPr>
          <w:p w:rsidR="007F2051" w:rsidRPr="00B8113F" w:rsidRDefault="007F2051" w:rsidP="005F6215">
            <w:pPr>
              <w:spacing w:before="120"/>
              <w:jc w:val="center"/>
              <w:rPr>
                <w:b/>
                <w:i/>
                <w:sz w:val="24"/>
                <w:u w:val="single"/>
                <w:lang w:eastAsia="x-none"/>
              </w:rPr>
            </w:pPr>
            <w:r>
              <w:rPr>
                <w:noProof/>
                <w:lang w:val="en-US" w:eastAsia="en-US"/>
              </w:rPr>
              <w:drawing>
                <wp:inline distT="0" distB="0" distL="0" distR="0" wp14:anchorId="7636DD06" wp14:editId="31CA353A">
                  <wp:extent cx="2981325" cy="2676525"/>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4754" w:type="dxa"/>
          </w:tcPr>
          <w:p w:rsidR="007F2051" w:rsidRPr="00B8113F" w:rsidRDefault="007F2051" w:rsidP="005F6215">
            <w:pPr>
              <w:spacing w:before="120"/>
              <w:jc w:val="center"/>
              <w:rPr>
                <w:b/>
                <w:i/>
                <w:sz w:val="24"/>
                <w:u w:val="single"/>
                <w:lang w:eastAsia="x-none"/>
              </w:rPr>
            </w:pPr>
            <w:r>
              <w:rPr>
                <w:noProof/>
                <w:lang w:val="en-US" w:eastAsia="en-US"/>
              </w:rPr>
              <w:drawing>
                <wp:inline distT="0" distB="0" distL="0" distR="0" wp14:anchorId="3568CA43" wp14:editId="10243E2A">
                  <wp:extent cx="2905125" cy="2657475"/>
                  <wp:effectExtent l="0" t="0" r="0" b="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bl>
    <w:p w:rsidR="007F2051" w:rsidRPr="003F55CD" w:rsidRDefault="007F2051" w:rsidP="007F2051">
      <w:pPr>
        <w:spacing w:before="120" w:after="120"/>
        <w:jc w:val="both"/>
        <w:rPr>
          <w:sz w:val="24"/>
          <w:szCs w:val="24"/>
        </w:rPr>
      </w:pPr>
      <w:r w:rsidRPr="003F55CD">
        <w:rPr>
          <w:sz w:val="24"/>
          <w:szCs w:val="24"/>
        </w:rPr>
        <w:t xml:space="preserve">Analiza în evoluție a structurii </w:t>
      </w:r>
      <w:r>
        <w:rPr>
          <w:sz w:val="24"/>
          <w:szCs w:val="24"/>
        </w:rPr>
        <w:t>transportului de mărfuri</w:t>
      </w:r>
      <w:r w:rsidRPr="003F55CD">
        <w:rPr>
          <w:sz w:val="24"/>
          <w:szCs w:val="24"/>
        </w:rPr>
        <w:t xml:space="preserve"> arată că</w:t>
      </w:r>
      <w:r>
        <w:rPr>
          <w:sz w:val="24"/>
          <w:szCs w:val="24"/>
        </w:rPr>
        <w:t>,</w:t>
      </w:r>
      <w:r w:rsidRPr="003F55CD">
        <w:rPr>
          <w:sz w:val="24"/>
          <w:szCs w:val="24"/>
        </w:rPr>
        <w:t xml:space="preserve"> în Republica Moldova se observă transferul în timp a traficului de mărfuri spre </w:t>
      </w:r>
      <w:proofErr w:type="spellStart"/>
      <w:r w:rsidRPr="003F55CD">
        <w:rPr>
          <w:sz w:val="24"/>
          <w:szCs w:val="24"/>
        </w:rPr>
        <w:t>tarnsportul</w:t>
      </w:r>
      <w:proofErr w:type="spellEnd"/>
      <w:r w:rsidRPr="003F55CD">
        <w:rPr>
          <w:sz w:val="24"/>
          <w:szCs w:val="24"/>
        </w:rPr>
        <w:t xml:space="preserve"> rutier. Astfel, cota mărfurilor transportate pe cale rutieră a cres</w:t>
      </w:r>
      <w:r>
        <w:rPr>
          <w:sz w:val="24"/>
          <w:szCs w:val="24"/>
        </w:rPr>
        <w:t>cut de la 27% în 2006 până la 74% în 2018.</w:t>
      </w:r>
    </w:p>
    <w:p w:rsidR="007F2051" w:rsidRDefault="007F2051" w:rsidP="007F2051">
      <w:pPr>
        <w:spacing w:before="120" w:after="120"/>
        <w:jc w:val="both"/>
        <w:rPr>
          <w:sz w:val="24"/>
          <w:szCs w:val="24"/>
        </w:rPr>
      </w:pPr>
      <w:r w:rsidRPr="00287861">
        <w:rPr>
          <w:sz w:val="24"/>
          <w:szCs w:val="24"/>
        </w:rPr>
        <w:t>În general, în anul 2018 volumul transportului de mărfuri s-a majorat ca urmare a dinamizării activităților economice și schimburilor comerciale. În această perioadă exporturile au crescut cu 11,6%, importurile cu 19,3%, producţia industrială cu 3,7%, comerțul cu ridicata – 7,4%, comerțul cu amănuntul – cu 7,6%.  Aceste evoluții au determinat creșterea volumului mărfurilor transportate atât în trafic național, cît și în trafic internațional.</w:t>
      </w:r>
    </w:p>
    <w:p w:rsidR="007F2051" w:rsidRPr="000D7A7C" w:rsidRDefault="007F2051" w:rsidP="007F2051">
      <w:pPr>
        <w:jc w:val="both"/>
        <w:rPr>
          <w:sz w:val="24"/>
          <w:szCs w:val="24"/>
        </w:rPr>
      </w:pPr>
      <w:r w:rsidRPr="000D7A7C">
        <w:rPr>
          <w:b/>
          <w:sz w:val="24"/>
          <w:szCs w:val="24"/>
        </w:rPr>
        <w:t>Numărul pasagerilor transportați</w:t>
      </w:r>
      <w:r w:rsidRPr="000D7A7C">
        <w:rPr>
          <w:sz w:val="24"/>
          <w:szCs w:val="24"/>
        </w:rPr>
        <w:t xml:space="preserve"> rămâne în scădere. În ianuarie-noiembrie 2018 au fost transportați circa 93,3 milioane pasageri, cu 1,6% mai puțin față de ianuarie-noiembrie 2017, fiind în descreștere transportul de călători pe toate căile de transport, cu excepția celui fluvial. Cea mai mare </w:t>
      </w:r>
      <w:proofErr w:type="spellStart"/>
      <w:r w:rsidRPr="000D7A7C">
        <w:rPr>
          <w:sz w:val="24"/>
          <w:szCs w:val="24"/>
        </w:rPr>
        <w:t>descreştere</w:t>
      </w:r>
      <w:proofErr w:type="spellEnd"/>
      <w:r w:rsidRPr="000D7A7C">
        <w:rPr>
          <w:sz w:val="24"/>
          <w:szCs w:val="24"/>
        </w:rPr>
        <w:t xml:space="preserve"> este înregistrată în sectorul feroviar (-5,6%), iar cel mai mare impact negativ este produs de transportul auto de călători, datorită cotei înalte a acestuia în serviciile totale de transport pasageri (96,5% din numărul total de pasageri).</w:t>
      </w:r>
    </w:p>
    <w:p w:rsidR="007F2051" w:rsidRPr="00B8113F" w:rsidRDefault="007F2051" w:rsidP="007F2051">
      <w:pPr>
        <w:jc w:val="both"/>
        <w:rPr>
          <w:sz w:val="24"/>
          <w:szCs w:val="24"/>
          <w:u w:val="single"/>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single" w:sz="4" w:space="0" w:color="A6A6A6" w:themeColor="background1" w:themeShade="A6"/>
        </w:tblBorders>
        <w:tblLook w:val="04A0" w:firstRow="1" w:lastRow="0" w:firstColumn="1" w:lastColumn="0" w:noHBand="0" w:noVBand="1"/>
      </w:tblPr>
      <w:tblGrid>
        <w:gridCol w:w="4895"/>
        <w:gridCol w:w="4732"/>
      </w:tblGrid>
      <w:tr w:rsidR="007F2051" w:rsidRPr="00B8113F" w:rsidTr="005F6215">
        <w:trPr>
          <w:trHeight w:val="649"/>
        </w:trPr>
        <w:tc>
          <w:tcPr>
            <w:tcW w:w="4941" w:type="dxa"/>
          </w:tcPr>
          <w:p w:rsidR="007F2051" w:rsidRPr="000D7A7C" w:rsidRDefault="007F2051" w:rsidP="005F6215">
            <w:pPr>
              <w:jc w:val="center"/>
              <w:rPr>
                <w:b/>
                <w:i/>
                <w:sz w:val="24"/>
                <w:lang w:eastAsia="x-none"/>
              </w:rPr>
            </w:pPr>
            <w:r w:rsidRPr="000D7A7C">
              <w:rPr>
                <w:b/>
                <w:i/>
                <w:sz w:val="24"/>
                <w:lang w:eastAsia="x-none"/>
              </w:rPr>
              <w:t xml:space="preserve">Evoluţia lunară a transportului de pasageri, </w:t>
            </w:r>
          </w:p>
          <w:p w:rsidR="007F2051" w:rsidRPr="000D7A7C" w:rsidRDefault="007F2051" w:rsidP="005F6215">
            <w:pPr>
              <w:jc w:val="center"/>
              <w:rPr>
                <w:i/>
                <w:sz w:val="24"/>
                <w:lang w:eastAsia="x-none"/>
              </w:rPr>
            </w:pPr>
            <w:r w:rsidRPr="000D7A7C">
              <w:rPr>
                <w:i/>
                <w:sz w:val="22"/>
                <w:lang w:eastAsia="x-none"/>
              </w:rPr>
              <w:t>% faţă de luna corespunzătoare a anului precedent</w:t>
            </w:r>
          </w:p>
        </w:tc>
        <w:tc>
          <w:tcPr>
            <w:tcW w:w="4686" w:type="dxa"/>
          </w:tcPr>
          <w:p w:rsidR="007F2051" w:rsidRPr="000D7A7C" w:rsidRDefault="007F2051" w:rsidP="005F6215">
            <w:pPr>
              <w:jc w:val="center"/>
              <w:rPr>
                <w:sz w:val="14"/>
                <w:szCs w:val="14"/>
              </w:rPr>
            </w:pPr>
            <w:r w:rsidRPr="000D7A7C">
              <w:rPr>
                <w:b/>
                <w:i/>
                <w:sz w:val="24"/>
                <w:lang w:eastAsia="x-none"/>
              </w:rPr>
              <w:t>Structura transportului de pasageri în evoluție 2006-2018, %</w:t>
            </w:r>
          </w:p>
        </w:tc>
      </w:tr>
      <w:tr w:rsidR="007F2051" w:rsidRPr="00B8113F" w:rsidTr="005F6215">
        <w:trPr>
          <w:trHeight w:val="3777"/>
        </w:trPr>
        <w:tc>
          <w:tcPr>
            <w:tcW w:w="4941" w:type="dxa"/>
          </w:tcPr>
          <w:p w:rsidR="007F2051" w:rsidRPr="000D7A7C" w:rsidRDefault="007F2051" w:rsidP="005F6215">
            <w:pPr>
              <w:spacing w:before="120"/>
              <w:jc w:val="center"/>
              <w:rPr>
                <w:b/>
                <w:i/>
                <w:sz w:val="24"/>
                <w:lang w:eastAsia="x-none"/>
              </w:rPr>
            </w:pPr>
            <w:r w:rsidRPr="000D7A7C">
              <w:rPr>
                <w:noProof/>
                <w:lang w:val="en-US" w:eastAsia="en-US"/>
              </w:rPr>
              <w:drawing>
                <wp:inline distT="0" distB="0" distL="0" distR="0" wp14:anchorId="59719238" wp14:editId="75035AB0">
                  <wp:extent cx="3000375" cy="3095625"/>
                  <wp:effectExtent l="0" t="0" r="0" b="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4686" w:type="dxa"/>
          </w:tcPr>
          <w:p w:rsidR="007F2051" w:rsidRPr="000D7A7C" w:rsidRDefault="007F2051" w:rsidP="005F6215">
            <w:pPr>
              <w:spacing w:before="120"/>
              <w:jc w:val="center"/>
              <w:rPr>
                <w:b/>
                <w:i/>
                <w:sz w:val="24"/>
                <w:lang w:eastAsia="x-none"/>
              </w:rPr>
            </w:pPr>
            <w:r w:rsidRPr="000D7A7C">
              <w:rPr>
                <w:noProof/>
                <w:lang w:val="en-US" w:eastAsia="en-US"/>
              </w:rPr>
              <w:drawing>
                <wp:inline distT="0" distB="0" distL="0" distR="0" wp14:anchorId="1CBB04CE" wp14:editId="4DB417D8">
                  <wp:extent cx="2895600" cy="2990850"/>
                  <wp:effectExtent l="0" t="0" r="0" b="0"/>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bl>
    <w:p w:rsidR="007F2051" w:rsidRPr="000D7A7C" w:rsidRDefault="007F2051" w:rsidP="007F2051">
      <w:pPr>
        <w:rPr>
          <w:bCs/>
          <w:i/>
          <w:sz w:val="18"/>
          <w:szCs w:val="14"/>
        </w:rPr>
      </w:pPr>
      <w:r w:rsidRPr="000D7A7C">
        <w:rPr>
          <w:bCs/>
          <w:i/>
          <w:sz w:val="18"/>
          <w:szCs w:val="14"/>
        </w:rPr>
        <w:t>Sursă: Biroul Naţional de Statistică/ *perioada</w:t>
      </w:r>
      <w:r>
        <w:rPr>
          <w:bCs/>
          <w:i/>
          <w:sz w:val="18"/>
          <w:szCs w:val="14"/>
        </w:rPr>
        <w:t xml:space="preserve"> disponibilă</w:t>
      </w:r>
      <w:r w:rsidRPr="000D7A7C">
        <w:rPr>
          <w:bCs/>
          <w:i/>
          <w:sz w:val="18"/>
          <w:szCs w:val="14"/>
        </w:rPr>
        <w:t>: ianuarie-noiembrie 2018</w:t>
      </w:r>
    </w:p>
    <w:p w:rsidR="007F2051" w:rsidRPr="000D7A7C" w:rsidRDefault="007F2051" w:rsidP="007F2051">
      <w:pPr>
        <w:spacing w:before="120" w:after="120" w:line="252" w:lineRule="auto"/>
        <w:jc w:val="both"/>
        <w:rPr>
          <w:color w:val="000000" w:themeColor="text1"/>
          <w:sz w:val="24"/>
          <w:szCs w:val="24"/>
        </w:rPr>
      </w:pPr>
      <w:r w:rsidRPr="000D7A7C">
        <w:rPr>
          <w:color w:val="000000" w:themeColor="text1"/>
          <w:sz w:val="24"/>
          <w:szCs w:val="24"/>
        </w:rPr>
        <w:lastRenderedPageBreak/>
        <w:t xml:space="preserve">Premise pentru situația nefavorabilă în sectorul transportului de călători sunt create de ponderea înaltă a economiei neobservate în sector (circa 20%), de ineficiența și performanța scăzută a serviciilor de transport public, precum și de creșterea numărului de automobile deținute de populație (importurile de </w:t>
      </w:r>
      <w:r>
        <w:rPr>
          <w:color w:val="000000" w:themeColor="text1"/>
          <w:sz w:val="24"/>
          <w:szCs w:val="24"/>
        </w:rPr>
        <w:t>vehicule rutiere a crescut cu 22</w:t>
      </w:r>
      <w:r w:rsidRPr="000D7A7C">
        <w:rPr>
          <w:color w:val="000000" w:themeColor="text1"/>
          <w:sz w:val="24"/>
          <w:szCs w:val="24"/>
        </w:rPr>
        <w:t>,</w:t>
      </w:r>
      <w:r>
        <w:rPr>
          <w:color w:val="000000" w:themeColor="text1"/>
          <w:sz w:val="24"/>
          <w:szCs w:val="24"/>
        </w:rPr>
        <w:t>7</w:t>
      </w:r>
      <w:r w:rsidRPr="000D7A7C">
        <w:rPr>
          <w:color w:val="000000" w:themeColor="text1"/>
          <w:sz w:val="24"/>
          <w:szCs w:val="24"/>
        </w:rPr>
        <w:t>% în anul 2018).</w:t>
      </w:r>
    </w:p>
    <w:p w:rsidR="007F2051" w:rsidRDefault="007F2051" w:rsidP="007F2051">
      <w:pPr>
        <w:jc w:val="both"/>
        <w:rPr>
          <w:b/>
          <w:bCs/>
          <w:color w:val="000000" w:themeColor="text1"/>
          <w:sz w:val="24"/>
          <w:szCs w:val="24"/>
        </w:rPr>
      </w:pPr>
    </w:p>
    <w:p w:rsidR="007F2051" w:rsidRPr="00B933BB" w:rsidRDefault="007F2051" w:rsidP="007F2051">
      <w:pPr>
        <w:jc w:val="both"/>
        <w:rPr>
          <w:b/>
          <w:bCs/>
          <w:color w:val="000000" w:themeColor="text1"/>
          <w:sz w:val="24"/>
          <w:szCs w:val="24"/>
        </w:rPr>
      </w:pPr>
      <w:r w:rsidRPr="00B933BB">
        <w:rPr>
          <w:b/>
          <w:bCs/>
          <w:color w:val="000000" w:themeColor="text1"/>
          <w:sz w:val="24"/>
          <w:szCs w:val="24"/>
        </w:rPr>
        <w:t>Comerțul cu bunuri și servicii</w:t>
      </w:r>
    </w:p>
    <w:p w:rsidR="007F2051" w:rsidRPr="00667A84" w:rsidRDefault="007F2051" w:rsidP="007F2051">
      <w:pPr>
        <w:rPr>
          <w:u w:val="single"/>
        </w:rPr>
      </w:pPr>
    </w:p>
    <w:tbl>
      <w:tblPr>
        <w:tblStyle w:val="TableGrid"/>
        <w:tblpPr w:leftFromText="180" w:rightFromText="180" w:vertAnchor="text" w:horzAnchor="margin" w:tblpXSpec="right" w:tblpY="69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tblGrid>
      <w:tr w:rsidR="007F2051" w:rsidRPr="00667A84" w:rsidTr="005F6215">
        <w:tc>
          <w:tcPr>
            <w:tcW w:w="4678" w:type="dxa"/>
          </w:tcPr>
          <w:p w:rsidR="007F2051" w:rsidRPr="00754E4F" w:rsidRDefault="007F2051" w:rsidP="005F6215">
            <w:pPr>
              <w:spacing w:before="120"/>
              <w:jc w:val="center"/>
              <w:rPr>
                <w:b/>
                <w:bCs/>
                <w:i/>
                <w:color w:val="000000" w:themeColor="text1"/>
                <w:sz w:val="22"/>
                <w:szCs w:val="24"/>
              </w:rPr>
            </w:pPr>
            <w:r w:rsidRPr="00754E4F">
              <w:rPr>
                <w:b/>
                <w:bCs/>
                <w:i/>
                <w:color w:val="000000" w:themeColor="text1"/>
                <w:sz w:val="22"/>
                <w:szCs w:val="24"/>
              </w:rPr>
              <w:t>Evoluția lunară a comerțului cu amănuntul,</w:t>
            </w:r>
          </w:p>
          <w:p w:rsidR="007F2051" w:rsidRPr="00754E4F" w:rsidRDefault="007F2051" w:rsidP="005F6215">
            <w:pPr>
              <w:jc w:val="center"/>
              <w:rPr>
                <w:bCs/>
                <w:i/>
                <w:color w:val="000000" w:themeColor="text1"/>
                <w:sz w:val="22"/>
                <w:szCs w:val="24"/>
              </w:rPr>
            </w:pPr>
            <w:r w:rsidRPr="00754E4F">
              <w:rPr>
                <w:bCs/>
                <w:i/>
                <w:color w:val="000000" w:themeColor="text1"/>
                <w:szCs w:val="24"/>
              </w:rPr>
              <w:t xml:space="preserve"> % față de luna corespunzătoare a anului precedent</w:t>
            </w:r>
          </w:p>
        </w:tc>
      </w:tr>
      <w:tr w:rsidR="007F2051" w:rsidRPr="00667A84" w:rsidTr="005F6215">
        <w:tc>
          <w:tcPr>
            <w:tcW w:w="4678" w:type="dxa"/>
          </w:tcPr>
          <w:p w:rsidR="007F2051" w:rsidRPr="00754E4F" w:rsidRDefault="007F2051" w:rsidP="005F6215">
            <w:pPr>
              <w:jc w:val="center"/>
              <w:rPr>
                <w:color w:val="000000" w:themeColor="text1"/>
                <w:sz w:val="24"/>
                <w:szCs w:val="24"/>
              </w:rPr>
            </w:pPr>
            <w:r w:rsidRPr="00754E4F">
              <w:rPr>
                <w:noProof/>
                <w:lang w:val="en-US" w:eastAsia="en-US"/>
              </w:rPr>
              <w:drawing>
                <wp:inline distT="0" distB="0" distL="0" distR="0" wp14:anchorId="11039E7A" wp14:editId="52E35C1A">
                  <wp:extent cx="2905125" cy="2333625"/>
                  <wp:effectExtent l="0" t="0" r="9525"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7F2051" w:rsidRPr="00667A84" w:rsidTr="005F6215">
        <w:tc>
          <w:tcPr>
            <w:tcW w:w="4678" w:type="dxa"/>
          </w:tcPr>
          <w:p w:rsidR="007F2051" w:rsidRPr="00754E4F" w:rsidRDefault="007F2051" w:rsidP="005F6215">
            <w:pPr>
              <w:rPr>
                <w:bCs/>
                <w:i/>
              </w:rPr>
            </w:pPr>
            <w:r w:rsidRPr="00754E4F">
              <w:rPr>
                <w:bCs/>
                <w:i/>
              </w:rPr>
              <w:t xml:space="preserve"> Sursă: Biroul Naţional de Statistică</w:t>
            </w:r>
          </w:p>
        </w:tc>
      </w:tr>
    </w:tbl>
    <w:p w:rsidR="007F2051" w:rsidRPr="00B933BB" w:rsidRDefault="007F2051" w:rsidP="007F2051">
      <w:pPr>
        <w:jc w:val="both"/>
        <w:rPr>
          <w:color w:val="000000" w:themeColor="text1"/>
          <w:sz w:val="24"/>
          <w:szCs w:val="24"/>
        </w:rPr>
      </w:pPr>
      <w:r w:rsidRPr="00B933BB">
        <w:rPr>
          <w:color w:val="000000" w:themeColor="text1"/>
          <w:sz w:val="24"/>
          <w:szCs w:val="24"/>
        </w:rPr>
        <w:t xml:space="preserve">În anul 2018, cifra de afaceri în </w:t>
      </w:r>
      <w:r w:rsidRPr="00B933BB">
        <w:rPr>
          <w:b/>
          <w:color w:val="000000" w:themeColor="text1"/>
          <w:sz w:val="24"/>
          <w:szCs w:val="24"/>
        </w:rPr>
        <w:t>comerțul cu amănuntul</w:t>
      </w:r>
      <w:r w:rsidRPr="00B933BB">
        <w:rPr>
          <w:color w:val="000000" w:themeColor="text1"/>
          <w:sz w:val="24"/>
          <w:szCs w:val="24"/>
        </w:rPr>
        <w:t xml:space="preserve"> a însumat circa 49,3 mild. lei și a înregistrat o creștere de circa 7,6% (în prețuri comparabile) față de perioada similară a anului trecut. Creșterile volumului mărfurilor comercializate cu amănuntul s-au datorat majorării cererii de mărfuri din partea populației, care poate fi explicată de creșterea reală a veniturilor și a puterii de cumpărare a populației. Veniturile reale ale populaţiei au crescut cu 5,6% în trimestrul III, 2018. </w:t>
      </w:r>
    </w:p>
    <w:p w:rsidR="007F2051" w:rsidRPr="00667A84" w:rsidRDefault="007F2051" w:rsidP="007F2051">
      <w:pPr>
        <w:jc w:val="both"/>
        <w:rPr>
          <w:color w:val="000000" w:themeColor="text1"/>
          <w:sz w:val="24"/>
          <w:szCs w:val="24"/>
          <w:u w:val="single"/>
        </w:rPr>
      </w:pPr>
    </w:p>
    <w:p w:rsidR="007F2051" w:rsidRPr="00B933BB" w:rsidRDefault="007F2051" w:rsidP="007F2051">
      <w:pPr>
        <w:jc w:val="both"/>
        <w:rPr>
          <w:color w:val="000000" w:themeColor="text1"/>
          <w:sz w:val="24"/>
          <w:szCs w:val="24"/>
        </w:rPr>
      </w:pPr>
      <w:r w:rsidRPr="00B933BB">
        <w:rPr>
          <w:color w:val="000000" w:themeColor="text1"/>
          <w:sz w:val="24"/>
          <w:szCs w:val="24"/>
        </w:rPr>
        <w:t xml:space="preserve">În structura vânzărilor pe grupe de mărfuri predomină produsele nealimentare, cota cărora constituie circa 71%, inclusiv </w:t>
      </w:r>
      <w:proofErr w:type="spellStart"/>
      <w:r w:rsidRPr="00B933BB">
        <w:rPr>
          <w:color w:val="000000" w:themeColor="text1"/>
          <w:sz w:val="24"/>
          <w:szCs w:val="24"/>
        </w:rPr>
        <w:t>carburanţi</w:t>
      </w:r>
      <w:proofErr w:type="spellEnd"/>
      <w:r w:rsidRPr="00B933BB">
        <w:rPr>
          <w:color w:val="000000" w:themeColor="text1"/>
          <w:sz w:val="24"/>
          <w:szCs w:val="24"/>
        </w:rPr>
        <w:t xml:space="preserve"> pentru autovehicule – 24%, produse de uz casnic – 15%, echipament informatic şi de </w:t>
      </w:r>
      <w:proofErr w:type="spellStart"/>
      <w:r w:rsidRPr="00B933BB">
        <w:rPr>
          <w:color w:val="000000" w:themeColor="text1"/>
          <w:sz w:val="24"/>
          <w:szCs w:val="24"/>
        </w:rPr>
        <w:t>telecomunicaţii</w:t>
      </w:r>
      <w:proofErr w:type="spellEnd"/>
      <w:r w:rsidRPr="00B933BB">
        <w:rPr>
          <w:color w:val="000000" w:themeColor="text1"/>
          <w:sz w:val="24"/>
          <w:szCs w:val="24"/>
        </w:rPr>
        <w:t xml:space="preserve"> – 3%, bunuri culturale – 2%. Vânzările de produse alimentare reprezintă circa 1/3 din volumul total al vânzărilor.</w:t>
      </w:r>
    </w:p>
    <w:p w:rsidR="007F2051" w:rsidRPr="00667A84" w:rsidRDefault="007F2051" w:rsidP="007F2051">
      <w:pPr>
        <w:jc w:val="both"/>
        <w:rPr>
          <w:color w:val="000000" w:themeColor="text1"/>
          <w:sz w:val="24"/>
          <w:szCs w:val="24"/>
          <w:u w:val="single"/>
        </w:rPr>
      </w:pPr>
    </w:p>
    <w:tbl>
      <w:tblPr>
        <w:tblStyle w:val="TableGrid"/>
        <w:tblpPr w:leftFromText="180" w:rightFromText="180" w:vertAnchor="text" w:horzAnchor="margin" w:tblpY="110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tblGrid>
      <w:tr w:rsidR="007F2051" w:rsidRPr="00754E4F" w:rsidTr="005F6215">
        <w:tc>
          <w:tcPr>
            <w:tcW w:w="4962" w:type="dxa"/>
          </w:tcPr>
          <w:p w:rsidR="007F2051" w:rsidRPr="00754E4F" w:rsidRDefault="007F2051" w:rsidP="005F6215">
            <w:pPr>
              <w:jc w:val="center"/>
              <w:rPr>
                <w:b/>
                <w:bCs/>
                <w:i/>
                <w:color w:val="000000" w:themeColor="text1"/>
                <w:sz w:val="22"/>
                <w:szCs w:val="24"/>
              </w:rPr>
            </w:pPr>
            <w:r w:rsidRPr="00754E4F">
              <w:rPr>
                <w:b/>
                <w:bCs/>
                <w:i/>
                <w:color w:val="000000" w:themeColor="text1"/>
                <w:sz w:val="22"/>
                <w:szCs w:val="24"/>
              </w:rPr>
              <w:t>Evoluția lunară a cifrei de afaceri pentru serviciile prestate populaţiei,</w:t>
            </w:r>
          </w:p>
          <w:p w:rsidR="007F2051" w:rsidRPr="00754E4F" w:rsidRDefault="007F2051" w:rsidP="005F6215">
            <w:pPr>
              <w:jc w:val="center"/>
              <w:rPr>
                <w:bCs/>
                <w:i/>
                <w:color w:val="000000" w:themeColor="text1"/>
                <w:sz w:val="22"/>
                <w:szCs w:val="24"/>
              </w:rPr>
            </w:pPr>
            <w:r w:rsidRPr="00754E4F">
              <w:rPr>
                <w:bCs/>
                <w:i/>
                <w:color w:val="000000" w:themeColor="text1"/>
                <w:szCs w:val="24"/>
              </w:rPr>
              <w:t>% față de luna corespunzătoare a anului precedent</w:t>
            </w:r>
          </w:p>
        </w:tc>
      </w:tr>
      <w:tr w:rsidR="007F2051" w:rsidRPr="00754E4F" w:rsidTr="005F6215">
        <w:tc>
          <w:tcPr>
            <w:tcW w:w="4962" w:type="dxa"/>
          </w:tcPr>
          <w:p w:rsidR="007F2051" w:rsidRPr="00754E4F" w:rsidRDefault="007F2051" w:rsidP="005F6215">
            <w:pPr>
              <w:jc w:val="center"/>
              <w:rPr>
                <w:color w:val="000000" w:themeColor="text1"/>
                <w:sz w:val="24"/>
                <w:szCs w:val="24"/>
              </w:rPr>
            </w:pPr>
            <w:r w:rsidRPr="00754E4F">
              <w:rPr>
                <w:noProof/>
                <w:lang w:val="en-US" w:eastAsia="en-US"/>
              </w:rPr>
              <w:drawing>
                <wp:inline distT="0" distB="0" distL="0" distR="0" wp14:anchorId="77512A9B" wp14:editId="7FDC825A">
                  <wp:extent cx="3019425" cy="2676525"/>
                  <wp:effectExtent l="0" t="0" r="9525"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r>
      <w:tr w:rsidR="007F2051" w:rsidRPr="00754E4F" w:rsidTr="005F6215">
        <w:tc>
          <w:tcPr>
            <w:tcW w:w="4962" w:type="dxa"/>
          </w:tcPr>
          <w:p w:rsidR="007F2051" w:rsidRPr="00754E4F" w:rsidRDefault="007F2051" w:rsidP="005F6215">
            <w:pPr>
              <w:rPr>
                <w:bCs/>
                <w:i/>
              </w:rPr>
            </w:pPr>
            <w:r w:rsidRPr="00754E4F">
              <w:rPr>
                <w:bCs/>
                <w:i/>
              </w:rPr>
              <w:t xml:space="preserve"> Sursă: Biroul Naţional de Statistică</w:t>
            </w:r>
          </w:p>
        </w:tc>
      </w:tr>
    </w:tbl>
    <w:p w:rsidR="007F2051" w:rsidRPr="00754E4F" w:rsidRDefault="007F2051" w:rsidP="007F2051">
      <w:pPr>
        <w:jc w:val="both"/>
        <w:rPr>
          <w:color w:val="000000" w:themeColor="text1"/>
          <w:sz w:val="24"/>
          <w:szCs w:val="24"/>
        </w:rPr>
      </w:pPr>
    </w:p>
    <w:p w:rsidR="007F2051" w:rsidRPr="00754E4F" w:rsidRDefault="007F2051" w:rsidP="007F2051">
      <w:pPr>
        <w:jc w:val="both"/>
        <w:rPr>
          <w:color w:val="000000" w:themeColor="text1"/>
          <w:sz w:val="24"/>
          <w:szCs w:val="24"/>
        </w:rPr>
      </w:pPr>
      <w:r w:rsidRPr="00754E4F">
        <w:rPr>
          <w:color w:val="000000" w:themeColor="text1"/>
          <w:sz w:val="24"/>
          <w:szCs w:val="24"/>
        </w:rPr>
        <w:t>În anul 2018, cifra de afaceri pentru </w:t>
      </w:r>
      <w:r w:rsidRPr="00754E4F">
        <w:rPr>
          <w:b/>
          <w:color w:val="000000" w:themeColor="text1"/>
          <w:sz w:val="24"/>
          <w:szCs w:val="24"/>
        </w:rPr>
        <w:t xml:space="preserve">serviciile de </w:t>
      </w:r>
      <w:proofErr w:type="spellStart"/>
      <w:r w:rsidRPr="00754E4F">
        <w:rPr>
          <w:b/>
          <w:color w:val="000000" w:themeColor="text1"/>
          <w:sz w:val="24"/>
          <w:szCs w:val="24"/>
        </w:rPr>
        <w:t>piaţă</w:t>
      </w:r>
      <w:proofErr w:type="spellEnd"/>
      <w:r w:rsidRPr="00754E4F">
        <w:rPr>
          <w:b/>
          <w:color w:val="000000" w:themeColor="text1"/>
          <w:sz w:val="24"/>
          <w:szCs w:val="24"/>
        </w:rPr>
        <w:t xml:space="preserve"> prestate populaţiei</w:t>
      </w:r>
      <w:r w:rsidRPr="00754E4F">
        <w:rPr>
          <w:color w:val="000000" w:themeColor="text1"/>
          <w:sz w:val="24"/>
          <w:szCs w:val="24"/>
        </w:rPr>
        <w:t xml:space="preserve"> au marcat o creştere de 10,9% (în preţuri comparabile) şi a însumat circa 18,3 mild. lei. La fel ca în cazul comerţului cu amănuntul factorul de bază care a </w:t>
      </w:r>
      <w:proofErr w:type="spellStart"/>
      <w:r w:rsidRPr="00754E4F">
        <w:rPr>
          <w:color w:val="000000" w:themeColor="text1"/>
          <w:sz w:val="24"/>
          <w:szCs w:val="24"/>
        </w:rPr>
        <w:t>influenţat</w:t>
      </w:r>
      <w:proofErr w:type="spellEnd"/>
      <w:r w:rsidRPr="00754E4F">
        <w:rPr>
          <w:color w:val="000000" w:themeColor="text1"/>
          <w:sz w:val="24"/>
          <w:szCs w:val="24"/>
        </w:rPr>
        <w:t xml:space="preserve"> creşterea solicitărilor de servicii a constituit îmbunătăţirea situaţiei financiare a populaţiei ca rezultat a creşterii reale a veniturilor populaţiei.</w:t>
      </w:r>
    </w:p>
    <w:p w:rsidR="007F2051" w:rsidRPr="00754E4F" w:rsidRDefault="007F2051" w:rsidP="007F2051">
      <w:pPr>
        <w:jc w:val="both"/>
        <w:rPr>
          <w:color w:val="000000" w:themeColor="text1"/>
          <w:sz w:val="24"/>
          <w:szCs w:val="24"/>
        </w:rPr>
      </w:pPr>
    </w:p>
    <w:p w:rsidR="007F2051" w:rsidRPr="00754E4F" w:rsidRDefault="007F2051" w:rsidP="007F2051">
      <w:pPr>
        <w:jc w:val="both"/>
        <w:rPr>
          <w:color w:val="000000" w:themeColor="text1"/>
          <w:sz w:val="24"/>
          <w:szCs w:val="24"/>
        </w:rPr>
      </w:pPr>
      <w:r w:rsidRPr="00754E4F">
        <w:rPr>
          <w:color w:val="000000" w:themeColor="text1"/>
          <w:sz w:val="24"/>
          <w:szCs w:val="24"/>
        </w:rPr>
        <w:t xml:space="preserve">În structura vânzărilor, predomină serviciile prestate în domeniul sănătății și asistență socială (circa 46% din volumul total), după care urmează turism, activităţi de recreare şi agrement (21%), serviciile în </w:t>
      </w:r>
      <w:proofErr w:type="spellStart"/>
      <w:r w:rsidRPr="00754E4F">
        <w:rPr>
          <w:color w:val="000000" w:themeColor="text1"/>
          <w:sz w:val="24"/>
          <w:szCs w:val="24"/>
        </w:rPr>
        <w:t>alimentaţia</w:t>
      </w:r>
      <w:proofErr w:type="spellEnd"/>
      <w:r w:rsidRPr="00754E4F">
        <w:rPr>
          <w:color w:val="000000" w:themeColor="text1"/>
          <w:sz w:val="24"/>
          <w:szCs w:val="24"/>
        </w:rPr>
        <w:t xml:space="preserve"> publică şi cazare (19%), învăţământ (10%). Comparativ cu perioada similară a anului trecut, în structura serviciilor se evidențiază tendinţa de creştere a ponderii serviciilor de turism și agrement (+2,7 </w:t>
      </w:r>
      <w:proofErr w:type="spellStart"/>
      <w:r w:rsidRPr="00754E4F">
        <w:rPr>
          <w:color w:val="000000" w:themeColor="text1"/>
          <w:sz w:val="24"/>
          <w:szCs w:val="24"/>
        </w:rPr>
        <w:t>p.p</w:t>
      </w:r>
      <w:proofErr w:type="spellEnd"/>
      <w:r w:rsidRPr="00754E4F">
        <w:rPr>
          <w:color w:val="000000" w:themeColor="text1"/>
          <w:sz w:val="24"/>
          <w:szCs w:val="24"/>
        </w:rPr>
        <w:t>) și a activităților de cazare și alimentație publică (+1,4 p.p.), concomitent cu scăderea ponderii serviciilor de săn</w:t>
      </w:r>
      <w:r w:rsidR="00CC012B">
        <w:rPr>
          <w:color w:val="000000" w:themeColor="text1"/>
          <w:sz w:val="24"/>
          <w:szCs w:val="24"/>
        </w:rPr>
        <w:t>ătate și asistență socială (-4</w:t>
      </w:r>
      <w:r w:rsidRPr="00754E4F">
        <w:rPr>
          <w:color w:val="000000" w:themeColor="text1"/>
          <w:sz w:val="24"/>
          <w:szCs w:val="24"/>
        </w:rPr>
        <w:t xml:space="preserve"> p.p.) și a celor de învățământ (-0,3 p.p.).</w:t>
      </w:r>
    </w:p>
    <w:p w:rsidR="007F2051" w:rsidRPr="00667A84" w:rsidRDefault="007F2051" w:rsidP="007F2051">
      <w:pPr>
        <w:jc w:val="both"/>
        <w:rPr>
          <w:color w:val="000000" w:themeColor="text1"/>
          <w:sz w:val="24"/>
          <w:szCs w:val="24"/>
          <w:u w:val="single"/>
        </w:rPr>
      </w:pPr>
    </w:p>
    <w:p w:rsidR="007F2051" w:rsidRPr="00667A84" w:rsidRDefault="007F2051" w:rsidP="007F2051">
      <w:pPr>
        <w:jc w:val="both"/>
        <w:rPr>
          <w:color w:val="000000" w:themeColor="text1"/>
          <w:sz w:val="24"/>
          <w:szCs w:val="24"/>
          <w:u w:val="single"/>
        </w:rPr>
      </w:pPr>
      <w:r w:rsidRPr="00F80007">
        <w:rPr>
          <w:color w:val="000000" w:themeColor="text1"/>
          <w:sz w:val="24"/>
          <w:szCs w:val="24"/>
        </w:rPr>
        <w:t xml:space="preserve">În anul 2018, </w:t>
      </w:r>
      <w:r w:rsidRPr="00F80007">
        <w:rPr>
          <w:b/>
          <w:color w:val="000000" w:themeColor="text1"/>
          <w:sz w:val="24"/>
          <w:szCs w:val="24"/>
        </w:rPr>
        <w:t>comerțul cu ridicata</w:t>
      </w:r>
      <w:r w:rsidRPr="00F80007">
        <w:rPr>
          <w:color w:val="000000" w:themeColor="text1"/>
          <w:sz w:val="24"/>
          <w:szCs w:val="24"/>
        </w:rPr>
        <w:t>, care asigură intermedierea dintre producători și comercianții cu amănuntul,   s-a majorat cu 7,4%   (în preţuri curente) și a înregistrat o valoare a</w:t>
      </w:r>
      <w:r w:rsidR="00CC012B">
        <w:rPr>
          <w:color w:val="000000" w:themeColor="text1"/>
          <w:sz w:val="24"/>
          <w:szCs w:val="24"/>
        </w:rPr>
        <w:t xml:space="preserve"> cifrei de afaceri de circa 99</w:t>
      </w:r>
      <w:r w:rsidRPr="00F80007">
        <w:rPr>
          <w:color w:val="000000" w:themeColor="text1"/>
          <w:sz w:val="24"/>
          <w:szCs w:val="24"/>
        </w:rPr>
        <w:t xml:space="preserve"> mild. lei</w:t>
      </w:r>
      <w:r w:rsidRPr="00CC56C4">
        <w:rPr>
          <w:color w:val="000000" w:themeColor="text1"/>
          <w:sz w:val="24"/>
          <w:szCs w:val="24"/>
        </w:rPr>
        <w:t xml:space="preserve">.  O influență majoră asupra creșterii comerțului cu </w:t>
      </w:r>
      <w:proofErr w:type="spellStart"/>
      <w:r w:rsidRPr="00CC56C4">
        <w:rPr>
          <w:color w:val="000000" w:themeColor="text1"/>
          <w:sz w:val="24"/>
          <w:szCs w:val="24"/>
        </w:rPr>
        <w:t>ridicala</w:t>
      </w:r>
      <w:proofErr w:type="spellEnd"/>
      <w:r w:rsidRPr="00CC56C4">
        <w:rPr>
          <w:color w:val="000000" w:themeColor="text1"/>
          <w:sz w:val="24"/>
          <w:szCs w:val="24"/>
        </w:rPr>
        <w:t xml:space="preserve"> au avut-o vânzările de echipament inform</w:t>
      </w:r>
      <w:r w:rsidR="00CC012B">
        <w:rPr>
          <w:color w:val="000000" w:themeColor="text1"/>
          <w:sz w:val="24"/>
          <w:szCs w:val="24"/>
        </w:rPr>
        <w:t>atic și de telecomunicații (+3</w:t>
      </w:r>
      <w:r w:rsidRPr="00CC56C4">
        <w:rPr>
          <w:color w:val="000000" w:themeColor="text1"/>
          <w:sz w:val="24"/>
          <w:szCs w:val="24"/>
        </w:rPr>
        <w:t xml:space="preserve"> </w:t>
      </w:r>
      <w:proofErr w:type="spellStart"/>
      <w:r w:rsidRPr="00CC56C4">
        <w:rPr>
          <w:color w:val="000000" w:themeColor="text1"/>
          <w:sz w:val="24"/>
          <w:szCs w:val="24"/>
        </w:rPr>
        <w:t>p.p</w:t>
      </w:r>
      <w:proofErr w:type="spellEnd"/>
      <w:r w:rsidRPr="00CC56C4">
        <w:rPr>
          <w:color w:val="000000" w:themeColor="text1"/>
          <w:sz w:val="24"/>
          <w:szCs w:val="24"/>
        </w:rPr>
        <w:t xml:space="preserve"> contribuție la creștere) </w:t>
      </w:r>
      <w:r>
        <w:rPr>
          <w:color w:val="000000" w:themeColor="text1"/>
          <w:sz w:val="24"/>
          <w:szCs w:val="24"/>
        </w:rPr>
        <w:t xml:space="preserve">și </w:t>
      </w:r>
      <w:r w:rsidRPr="00CC56C4">
        <w:rPr>
          <w:color w:val="000000" w:themeColor="text1"/>
          <w:sz w:val="24"/>
          <w:szCs w:val="24"/>
        </w:rPr>
        <w:t xml:space="preserve">de produse alimentare </w:t>
      </w:r>
      <w:r w:rsidRPr="00CC56C4">
        <w:rPr>
          <w:color w:val="000000" w:themeColor="text1"/>
          <w:sz w:val="24"/>
          <w:szCs w:val="24"/>
        </w:rPr>
        <w:lastRenderedPageBreak/>
        <w:t>(+2,5</w:t>
      </w:r>
      <w:r>
        <w:rPr>
          <w:color w:val="000000" w:themeColor="text1"/>
          <w:sz w:val="24"/>
          <w:szCs w:val="24"/>
        </w:rPr>
        <w:t xml:space="preserve"> </w:t>
      </w:r>
      <w:proofErr w:type="spellStart"/>
      <w:r>
        <w:rPr>
          <w:color w:val="000000" w:themeColor="text1"/>
          <w:sz w:val="24"/>
          <w:szCs w:val="24"/>
        </w:rPr>
        <w:t>p.p</w:t>
      </w:r>
      <w:proofErr w:type="spellEnd"/>
      <w:r>
        <w:rPr>
          <w:color w:val="000000" w:themeColor="text1"/>
          <w:sz w:val="24"/>
          <w:szCs w:val="24"/>
        </w:rPr>
        <w:t xml:space="preserve"> contribuție la creștere)</w:t>
      </w:r>
      <w:r w:rsidRPr="00CC56C4">
        <w:rPr>
          <w:color w:val="000000" w:themeColor="text1"/>
          <w:sz w:val="24"/>
          <w:szCs w:val="24"/>
        </w:rPr>
        <w:t xml:space="preserve">. În descreștere pronunțată a fost </w:t>
      </w:r>
      <w:proofErr w:type="spellStart"/>
      <w:r w:rsidRPr="00CC56C4">
        <w:rPr>
          <w:color w:val="000000" w:themeColor="text1"/>
          <w:sz w:val="24"/>
          <w:szCs w:val="24"/>
        </w:rPr>
        <w:t>comerţul</w:t>
      </w:r>
      <w:proofErr w:type="spellEnd"/>
      <w:r w:rsidRPr="00CC56C4">
        <w:rPr>
          <w:color w:val="000000" w:themeColor="text1"/>
          <w:sz w:val="24"/>
          <w:szCs w:val="24"/>
        </w:rPr>
        <w:t xml:space="preserve"> cu ridicata al produselor agricole brute şi al animalelor vii, care au contribuit negativ la rezultat cu -1,3 p.p.</w:t>
      </w:r>
    </w:p>
    <w:p w:rsidR="007F2051" w:rsidRPr="00667A84" w:rsidRDefault="007F2051" w:rsidP="007F2051">
      <w:pPr>
        <w:jc w:val="both"/>
        <w:rPr>
          <w:color w:val="000000" w:themeColor="text1"/>
          <w:sz w:val="24"/>
          <w:szCs w:val="24"/>
          <w:u w:val="single"/>
        </w:rPr>
      </w:pPr>
    </w:p>
    <w:p w:rsidR="007F2051" w:rsidRPr="00667A84" w:rsidRDefault="007F2051" w:rsidP="007F2051">
      <w:pPr>
        <w:jc w:val="both"/>
        <w:rPr>
          <w:color w:val="000000" w:themeColor="text1"/>
          <w:sz w:val="24"/>
          <w:szCs w:val="24"/>
          <w:u w:val="single"/>
        </w:rPr>
      </w:pPr>
    </w:p>
    <w:tbl>
      <w:tblPr>
        <w:tblStyle w:val="TableGrid"/>
        <w:tblpPr w:leftFromText="180" w:rightFromText="180" w:vertAnchor="text" w:horzAnchor="margin" w:tblpY="1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6"/>
      </w:tblGrid>
      <w:tr w:rsidR="007F2051" w:rsidRPr="00667A84" w:rsidTr="005F6215">
        <w:tc>
          <w:tcPr>
            <w:tcW w:w="5046" w:type="dxa"/>
          </w:tcPr>
          <w:p w:rsidR="007F2051" w:rsidRPr="00CC56C4" w:rsidRDefault="007F2051" w:rsidP="005F6215">
            <w:pPr>
              <w:spacing w:before="60"/>
              <w:jc w:val="center"/>
              <w:rPr>
                <w:b/>
                <w:bCs/>
                <w:i/>
                <w:color w:val="000000" w:themeColor="text1"/>
                <w:sz w:val="22"/>
                <w:szCs w:val="24"/>
              </w:rPr>
            </w:pPr>
            <w:r w:rsidRPr="00CC56C4">
              <w:rPr>
                <w:b/>
                <w:bCs/>
                <w:i/>
                <w:color w:val="000000" w:themeColor="text1"/>
                <w:sz w:val="22"/>
                <w:szCs w:val="24"/>
              </w:rPr>
              <w:t>Evoluția lunară a comerţului cu ridicata și serviciilor prestate întreprinderilor,</w:t>
            </w:r>
          </w:p>
          <w:p w:rsidR="007F2051" w:rsidRPr="00667A84" w:rsidRDefault="007F2051" w:rsidP="005F6215">
            <w:pPr>
              <w:jc w:val="center"/>
              <w:rPr>
                <w:bCs/>
                <w:i/>
                <w:color w:val="000000" w:themeColor="text1"/>
                <w:sz w:val="22"/>
                <w:szCs w:val="24"/>
                <w:u w:val="single"/>
              </w:rPr>
            </w:pPr>
            <w:r w:rsidRPr="00CC56C4">
              <w:rPr>
                <w:bCs/>
                <w:i/>
                <w:color w:val="000000" w:themeColor="text1"/>
                <w:szCs w:val="24"/>
              </w:rPr>
              <w:t>% față de luna corespunzătoare a anului precedent</w:t>
            </w:r>
          </w:p>
        </w:tc>
      </w:tr>
      <w:tr w:rsidR="007F2051" w:rsidRPr="00667A84" w:rsidTr="005F6215">
        <w:tc>
          <w:tcPr>
            <w:tcW w:w="5046" w:type="dxa"/>
          </w:tcPr>
          <w:p w:rsidR="007F2051" w:rsidRPr="00A10AE0" w:rsidRDefault="007F2051" w:rsidP="005F6215">
            <w:pPr>
              <w:jc w:val="center"/>
              <w:rPr>
                <w:color w:val="000000" w:themeColor="text1"/>
                <w:sz w:val="24"/>
                <w:szCs w:val="24"/>
              </w:rPr>
            </w:pPr>
            <w:r w:rsidRPr="00A10AE0">
              <w:rPr>
                <w:noProof/>
                <w:lang w:val="en-US" w:eastAsia="en-US"/>
              </w:rPr>
              <w:drawing>
                <wp:inline distT="0" distB="0" distL="0" distR="0" wp14:anchorId="4981B540" wp14:editId="10132A26">
                  <wp:extent cx="3209925" cy="2583180"/>
                  <wp:effectExtent l="0" t="0" r="9525" b="762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7F2051" w:rsidRPr="00667A84" w:rsidTr="005F6215">
        <w:tc>
          <w:tcPr>
            <w:tcW w:w="5046" w:type="dxa"/>
          </w:tcPr>
          <w:p w:rsidR="007F2051" w:rsidRPr="00A10AE0" w:rsidRDefault="007F2051" w:rsidP="005F6215">
            <w:pPr>
              <w:rPr>
                <w:bCs/>
                <w:i/>
              </w:rPr>
            </w:pPr>
            <w:r w:rsidRPr="00A10AE0">
              <w:rPr>
                <w:bCs/>
                <w:i/>
              </w:rPr>
              <w:t xml:space="preserve"> Sursă: Biroul Naţional de Statistică</w:t>
            </w:r>
          </w:p>
        </w:tc>
      </w:tr>
    </w:tbl>
    <w:p w:rsidR="007F2051" w:rsidRPr="00667A84" w:rsidRDefault="007F2051" w:rsidP="007F2051">
      <w:pPr>
        <w:jc w:val="both"/>
        <w:rPr>
          <w:color w:val="000000" w:themeColor="text1"/>
          <w:sz w:val="24"/>
          <w:szCs w:val="24"/>
          <w:u w:val="single"/>
        </w:rPr>
      </w:pPr>
      <w:r w:rsidRPr="00CC56C4">
        <w:rPr>
          <w:color w:val="000000" w:themeColor="text1"/>
          <w:sz w:val="24"/>
          <w:szCs w:val="24"/>
        </w:rPr>
        <w:t xml:space="preserve">De asemenea, a crescut volumul </w:t>
      </w:r>
      <w:r w:rsidRPr="00CC56C4">
        <w:rPr>
          <w:b/>
          <w:color w:val="000000" w:themeColor="text1"/>
          <w:sz w:val="24"/>
          <w:szCs w:val="24"/>
        </w:rPr>
        <w:t>serviciilor prestate întreprinderilor</w:t>
      </w:r>
      <w:r w:rsidRPr="00CC56C4">
        <w:rPr>
          <w:color w:val="000000" w:themeColor="text1"/>
          <w:sz w:val="24"/>
          <w:szCs w:val="24"/>
        </w:rPr>
        <w:t xml:space="preserve">. Acestea s-au majorat cu circa 4,1% (în preţuri curente), înregistrând </w:t>
      </w:r>
      <w:r w:rsidR="00CC012B">
        <w:rPr>
          <w:color w:val="000000" w:themeColor="text1"/>
          <w:sz w:val="24"/>
          <w:szCs w:val="24"/>
        </w:rPr>
        <w:t>o cifră de afaceri de circa 42</w:t>
      </w:r>
      <w:r w:rsidRPr="00CC56C4">
        <w:rPr>
          <w:color w:val="000000" w:themeColor="text1"/>
          <w:sz w:val="24"/>
          <w:szCs w:val="24"/>
        </w:rPr>
        <w:t xml:space="preserve"> mild. lei</w:t>
      </w:r>
      <w:r w:rsidRPr="00EA0910">
        <w:rPr>
          <w:color w:val="000000" w:themeColor="text1"/>
          <w:sz w:val="24"/>
          <w:szCs w:val="24"/>
        </w:rPr>
        <w:t xml:space="preserve">. Cerere sporită a fost înregistrată, în special, pentru serviciile de transport (+9,4%), servicii informatice (+33,7%) și cele în domeniu tehnologiei informației (+18,2%), precum și tranzacțiile </w:t>
      </w:r>
      <w:proofErr w:type="spellStart"/>
      <w:r w:rsidRPr="00EA0910">
        <w:rPr>
          <w:color w:val="000000" w:themeColor="text1"/>
          <w:sz w:val="24"/>
          <w:szCs w:val="24"/>
        </w:rPr>
        <w:t>imobliliare</w:t>
      </w:r>
      <w:proofErr w:type="spellEnd"/>
      <w:r w:rsidRPr="00EA0910">
        <w:rPr>
          <w:color w:val="000000" w:themeColor="text1"/>
          <w:sz w:val="24"/>
          <w:szCs w:val="24"/>
        </w:rPr>
        <w:t xml:space="preserve"> (+17,7%).</w:t>
      </w:r>
    </w:p>
    <w:p w:rsidR="007F2051" w:rsidRPr="00EA0910" w:rsidRDefault="007F2051" w:rsidP="007F2051">
      <w:pPr>
        <w:jc w:val="both"/>
        <w:rPr>
          <w:color w:val="000000" w:themeColor="text1"/>
          <w:sz w:val="24"/>
          <w:szCs w:val="24"/>
        </w:rPr>
      </w:pPr>
    </w:p>
    <w:p w:rsidR="007F2051" w:rsidRPr="00EA0910" w:rsidRDefault="007F2051" w:rsidP="007F2051">
      <w:pPr>
        <w:jc w:val="both"/>
        <w:rPr>
          <w:color w:val="000000" w:themeColor="text1"/>
          <w:sz w:val="24"/>
          <w:szCs w:val="24"/>
        </w:rPr>
      </w:pPr>
      <w:r w:rsidRPr="00EA0910">
        <w:rPr>
          <w:color w:val="000000" w:themeColor="text1"/>
          <w:sz w:val="24"/>
          <w:szCs w:val="24"/>
        </w:rPr>
        <w:t xml:space="preserve">În diminuare a fost activitatea întreprinderilor care </w:t>
      </w:r>
      <w:proofErr w:type="spellStart"/>
      <w:r w:rsidRPr="00EA0910">
        <w:rPr>
          <w:color w:val="000000" w:themeColor="text1"/>
          <w:sz w:val="24"/>
          <w:szCs w:val="24"/>
        </w:rPr>
        <w:t>presteză</w:t>
      </w:r>
      <w:proofErr w:type="spellEnd"/>
      <w:r w:rsidRPr="00EA0910">
        <w:rPr>
          <w:color w:val="000000" w:themeColor="text1"/>
          <w:sz w:val="24"/>
          <w:szCs w:val="24"/>
        </w:rPr>
        <w:t xml:space="preserve"> servicii în domeniul comunicațiilor electronice (-5,5%), servicii de consultanţă juridică și contabile (-43,1%), precum și cele de secretariat și logistică (-34%).</w:t>
      </w:r>
    </w:p>
    <w:p w:rsidR="007F2051" w:rsidRPr="00233BCC" w:rsidRDefault="007F2051" w:rsidP="007F2051">
      <w:pPr>
        <w:jc w:val="both"/>
        <w:rPr>
          <w:color w:val="000000" w:themeColor="text1"/>
          <w:sz w:val="24"/>
          <w:szCs w:val="24"/>
        </w:rPr>
      </w:pPr>
    </w:p>
    <w:tbl>
      <w:tblPr>
        <w:tblStyle w:val="TableGrid"/>
        <w:tblpPr w:leftFromText="180" w:rightFromText="180" w:vertAnchor="text" w:horzAnchor="margin" w:tblpXSpec="right" w:tblpY="185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2"/>
      </w:tblGrid>
      <w:tr w:rsidR="007F2051" w:rsidRPr="00233BCC" w:rsidTr="005F6215">
        <w:tc>
          <w:tcPr>
            <w:tcW w:w="5952" w:type="dxa"/>
          </w:tcPr>
          <w:p w:rsidR="007F2051" w:rsidRPr="00233BCC" w:rsidRDefault="007F2051" w:rsidP="005F6215">
            <w:pPr>
              <w:jc w:val="center"/>
              <w:rPr>
                <w:b/>
                <w:bCs/>
                <w:i/>
                <w:color w:val="000000" w:themeColor="text1"/>
                <w:sz w:val="22"/>
                <w:szCs w:val="24"/>
              </w:rPr>
            </w:pPr>
            <w:r w:rsidRPr="00233BCC">
              <w:rPr>
                <w:b/>
                <w:bCs/>
                <w:i/>
                <w:color w:val="000000" w:themeColor="text1"/>
                <w:sz w:val="22"/>
                <w:szCs w:val="24"/>
              </w:rPr>
              <w:t>Evoluția lunară a comerţului cu autovehicule</w:t>
            </w:r>
          </w:p>
          <w:p w:rsidR="007F2051" w:rsidRPr="00233BCC" w:rsidRDefault="007F2051" w:rsidP="005F6215">
            <w:pPr>
              <w:jc w:val="center"/>
              <w:rPr>
                <w:bCs/>
                <w:i/>
                <w:color w:val="000000" w:themeColor="text1"/>
                <w:sz w:val="22"/>
                <w:szCs w:val="24"/>
              </w:rPr>
            </w:pPr>
            <w:r w:rsidRPr="00233BCC">
              <w:rPr>
                <w:bCs/>
                <w:i/>
                <w:color w:val="000000" w:themeColor="text1"/>
                <w:szCs w:val="24"/>
              </w:rPr>
              <w:t>% față de luna corespunzătoare a anului precedent</w:t>
            </w:r>
          </w:p>
        </w:tc>
      </w:tr>
      <w:tr w:rsidR="007F2051" w:rsidRPr="00233BCC" w:rsidTr="005F6215">
        <w:tc>
          <w:tcPr>
            <w:tcW w:w="5952" w:type="dxa"/>
          </w:tcPr>
          <w:p w:rsidR="007F2051" w:rsidRPr="00233BCC" w:rsidRDefault="007F2051" w:rsidP="005F6215">
            <w:pPr>
              <w:jc w:val="center"/>
              <w:rPr>
                <w:color w:val="000000" w:themeColor="text1"/>
                <w:sz w:val="24"/>
                <w:szCs w:val="24"/>
              </w:rPr>
            </w:pPr>
            <w:r>
              <w:rPr>
                <w:noProof/>
                <w:lang w:val="en-US" w:eastAsia="en-US"/>
              </w:rPr>
              <w:drawing>
                <wp:inline distT="0" distB="0" distL="0" distR="0" wp14:anchorId="4A44BBBC" wp14:editId="49E30386">
                  <wp:extent cx="3324225" cy="2162175"/>
                  <wp:effectExtent l="0" t="0" r="9525" b="952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r>
      <w:tr w:rsidR="007F2051" w:rsidRPr="00233BCC" w:rsidTr="005F6215">
        <w:tc>
          <w:tcPr>
            <w:tcW w:w="5952" w:type="dxa"/>
          </w:tcPr>
          <w:p w:rsidR="007F2051" w:rsidRPr="00233BCC" w:rsidRDefault="007F2051" w:rsidP="005F6215">
            <w:pPr>
              <w:rPr>
                <w:bCs/>
                <w:i/>
              </w:rPr>
            </w:pPr>
            <w:r w:rsidRPr="00233BCC">
              <w:rPr>
                <w:bCs/>
                <w:i/>
              </w:rPr>
              <w:t xml:space="preserve"> Sursă: Biroul Naţional de Statistică</w:t>
            </w:r>
          </w:p>
        </w:tc>
      </w:tr>
    </w:tbl>
    <w:p w:rsidR="007F2051" w:rsidRPr="00233BCC" w:rsidRDefault="007F2051" w:rsidP="007F2051">
      <w:pPr>
        <w:jc w:val="both"/>
        <w:rPr>
          <w:color w:val="000000" w:themeColor="text1"/>
          <w:sz w:val="24"/>
          <w:szCs w:val="24"/>
        </w:rPr>
      </w:pPr>
      <w:r w:rsidRPr="00233BCC">
        <w:rPr>
          <w:color w:val="000000" w:themeColor="text1"/>
          <w:sz w:val="24"/>
          <w:szCs w:val="24"/>
        </w:rPr>
        <w:t>Ameliorarea comerțului cu ridicata se explică, pe de o parte, de creșterea cererii din partea comercianților cu amănuntul, pe de altă parte, de dinamizarea activității întreprinderilor ce utilizează în procesele de producție materie primă furnizată de rețeaua de comerț angro, precum și a agenților economici ce utilizează servicii din partea altor întreprinderi pentru a-și asigura activitatea economică.</w:t>
      </w:r>
    </w:p>
    <w:p w:rsidR="007F2051" w:rsidRPr="00667A84" w:rsidRDefault="007F2051" w:rsidP="007F2051">
      <w:pPr>
        <w:jc w:val="both"/>
        <w:rPr>
          <w:color w:val="000000" w:themeColor="text1"/>
          <w:sz w:val="24"/>
          <w:szCs w:val="24"/>
          <w:u w:val="single"/>
        </w:rPr>
      </w:pPr>
      <w:r w:rsidRPr="00667A84">
        <w:rPr>
          <w:color w:val="000000" w:themeColor="text1"/>
          <w:sz w:val="24"/>
          <w:szCs w:val="24"/>
          <w:u w:val="single"/>
        </w:rPr>
        <w:t xml:space="preserve"> </w:t>
      </w:r>
    </w:p>
    <w:p w:rsidR="007F2051" w:rsidRPr="00233BCC" w:rsidRDefault="007F2051" w:rsidP="007F2051">
      <w:pPr>
        <w:jc w:val="both"/>
        <w:rPr>
          <w:color w:val="000000" w:themeColor="text1"/>
          <w:sz w:val="24"/>
          <w:szCs w:val="24"/>
        </w:rPr>
      </w:pPr>
      <w:r w:rsidRPr="00233BCC">
        <w:rPr>
          <w:color w:val="000000" w:themeColor="text1"/>
          <w:sz w:val="24"/>
          <w:szCs w:val="24"/>
        </w:rPr>
        <w:t xml:space="preserve">Cifra de afaceri în </w:t>
      </w:r>
      <w:r w:rsidRPr="00233BCC">
        <w:rPr>
          <w:b/>
          <w:color w:val="000000" w:themeColor="text1"/>
          <w:sz w:val="24"/>
          <w:szCs w:val="24"/>
        </w:rPr>
        <w:t>comerț, întreținere și reparație a autovehiculelor şi motocicletelor</w:t>
      </w:r>
      <w:r w:rsidRPr="00233BCC">
        <w:rPr>
          <w:color w:val="000000" w:themeColor="text1"/>
          <w:sz w:val="24"/>
          <w:szCs w:val="24"/>
        </w:rPr>
        <w:t>, a crescut cu 6,9% (în preţuri curente), înregistrând o valoare de 9,1 mild. lei. Acestă creștere se datorează creșterii cifrei de afaceri la comerțul cu autovehicule (+10,8%) și la comerțul cu piese pentru autovehicule (+20,8%). Totodată, datele arată o scădere în continuare a volumului de afaceri la serviciile de întreținere și reparare a autovehiculelor (-30,3%).</w:t>
      </w:r>
    </w:p>
    <w:p w:rsidR="007F2051" w:rsidRPr="00667A84" w:rsidRDefault="007F2051" w:rsidP="007F2051">
      <w:pPr>
        <w:jc w:val="both"/>
        <w:rPr>
          <w:color w:val="000000" w:themeColor="text1"/>
          <w:sz w:val="24"/>
          <w:szCs w:val="24"/>
          <w:u w:val="single"/>
        </w:rPr>
      </w:pPr>
    </w:p>
    <w:p w:rsidR="007F2051" w:rsidRPr="00667A84" w:rsidRDefault="007F2051" w:rsidP="007F2051">
      <w:pPr>
        <w:spacing w:before="60"/>
        <w:jc w:val="center"/>
        <w:rPr>
          <w:b/>
          <w:bCs/>
          <w:i/>
          <w:color w:val="000000" w:themeColor="text1"/>
          <w:sz w:val="24"/>
          <w:szCs w:val="24"/>
          <w:u w:val="single"/>
        </w:rPr>
      </w:pPr>
    </w:p>
    <w:p w:rsidR="007F2051" w:rsidRDefault="007F2051" w:rsidP="007F2051">
      <w:pPr>
        <w:rPr>
          <w:u w:val="single"/>
        </w:rPr>
      </w:pPr>
    </w:p>
    <w:p w:rsidR="00C2068C" w:rsidRDefault="00C2068C" w:rsidP="007F2051">
      <w:pPr>
        <w:rPr>
          <w:u w:val="single"/>
        </w:rPr>
      </w:pPr>
    </w:p>
    <w:p w:rsidR="00C2068C" w:rsidRDefault="00C2068C" w:rsidP="007F2051">
      <w:pPr>
        <w:rPr>
          <w:u w:val="single"/>
        </w:rPr>
      </w:pPr>
    </w:p>
    <w:p w:rsidR="00C2068C" w:rsidRDefault="00C2068C" w:rsidP="007F2051">
      <w:pPr>
        <w:rPr>
          <w:u w:val="single"/>
        </w:rPr>
      </w:pPr>
    </w:p>
    <w:p w:rsidR="00C2068C" w:rsidRDefault="00C2068C" w:rsidP="007F2051">
      <w:pPr>
        <w:rPr>
          <w:u w:val="single"/>
        </w:rPr>
      </w:pPr>
    </w:p>
    <w:p w:rsidR="00C2068C" w:rsidRDefault="00C2068C" w:rsidP="007F2051">
      <w:pPr>
        <w:rPr>
          <w:u w:val="single"/>
        </w:rPr>
      </w:pPr>
    </w:p>
    <w:p w:rsidR="00C2068C" w:rsidRDefault="00C2068C" w:rsidP="007F2051">
      <w:pPr>
        <w:rPr>
          <w:u w:val="single"/>
        </w:rPr>
      </w:pPr>
    </w:p>
    <w:p w:rsidR="00C2068C" w:rsidRDefault="00C2068C" w:rsidP="007F2051">
      <w:pPr>
        <w:rPr>
          <w:u w:val="single"/>
        </w:rPr>
      </w:pPr>
    </w:p>
    <w:p w:rsidR="00C2068C" w:rsidRDefault="00C2068C" w:rsidP="007F2051">
      <w:pPr>
        <w:rPr>
          <w:u w:val="single"/>
        </w:rPr>
      </w:pPr>
    </w:p>
    <w:p w:rsidR="00C2068C" w:rsidRDefault="00C2068C" w:rsidP="007F2051">
      <w:pPr>
        <w:rPr>
          <w:u w:val="single"/>
        </w:rPr>
      </w:pPr>
    </w:p>
    <w:p w:rsidR="00C2068C" w:rsidRPr="00667A84" w:rsidRDefault="00C2068C" w:rsidP="007F2051">
      <w:pPr>
        <w:rPr>
          <w:u w:val="single"/>
        </w:rPr>
      </w:pPr>
    </w:p>
    <w:p w:rsidR="009925C8" w:rsidRPr="00E92CE8" w:rsidRDefault="009925C8" w:rsidP="009925C8"/>
    <w:p w:rsidR="009925C8" w:rsidRPr="00E92CE8" w:rsidRDefault="009925C8" w:rsidP="009925C8">
      <w:pPr>
        <w:pStyle w:val="Heading1"/>
        <w:keepNext w:val="0"/>
        <w:numPr>
          <w:ilvl w:val="0"/>
          <w:numId w:val="7"/>
        </w:numPr>
        <w:rPr>
          <w:sz w:val="26"/>
          <w:szCs w:val="26"/>
        </w:rPr>
      </w:pPr>
      <w:r w:rsidRPr="00E92CE8">
        <w:rPr>
          <w:sz w:val="26"/>
          <w:szCs w:val="26"/>
        </w:rPr>
        <w:lastRenderedPageBreak/>
        <w:t>Comerț exterior</w:t>
      </w:r>
    </w:p>
    <w:p w:rsidR="009925C8" w:rsidRPr="00E92CE8" w:rsidRDefault="009925C8" w:rsidP="009925C8">
      <w:pPr>
        <w:tabs>
          <w:tab w:val="num" w:pos="4770"/>
        </w:tabs>
        <w:jc w:val="center"/>
        <w:outlineLvl w:val="0"/>
        <w:rPr>
          <w:b/>
          <w:bCs/>
          <w:sz w:val="26"/>
          <w:szCs w:val="26"/>
          <w:lang w:val="en-US"/>
        </w:rPr>
      </w:pPr>
    </w:p>
    <w:p w:rsidR="009925C8" w:rsidRPr="00E92CE8" w:rsidRDefault="009925C8" w:rsidP="009925C8">
      <w:pPr>
        <w:jc w:val="both"/>
        <w:rPr>
          <w:color w:val="000000" w:themeColor="text1"/>
          <w:kern w:val="24"/>
          <w:sz w:val="24"/>
          <w:szCs w:val="24"/>
          <w:lang w:eastAsia="en-US"/>
        </w:rPr>
      </w:pPr>
      <w:r w:rsidRPr="00E92CE8">
        <w:rPr>
          <w:color w:val="000000" w:themeColor="text1"/>
          <w:kern w:val="24"/>
          <w:sz w:val="24"/>
          <w:szCs w:val="24"/>
          <w:lang w:eastAsia="en-US"/>
        </w:rPr>
        <w:t xml:space="preserve">Evoluţia comerţului exterior în anul 2018 a fost </w:t>
      </w:r>
      <w:proofErr w:type="spellStart"/>
      <w:r w:rsidRPr="00E92CE8">
        <w:rPr>
          <w:color w:val="000000" w:themeColor="text1"/>
          <w:kern w:val="24"/>
          <w:sz w:val="24"/>
          <w:szCs w:val="24"/>
          <w:lang w:eastAsia="en-US"/>
        </w:rPr>
        <w:t>influenţată</w:t>
      </w:r>
      <w:proofErr w:type="spellEnd"/>
      <w:r w:rsidRPr="00E92CE8">
        <w:rPr>
          <w:color w:val="000000" w:themeColor="text1"/>
          <w:kern w:val="24"/>
          <w:sz w:val="24"/>
          <w:szCs w:val="24"/>
          <w:lang w:eastAsia="en-US"/>
        </w:rPr>
        <w:t xml:space="preserve"> de îmbunătăţirea cererii externe, determinată de expansiunea economiei mondiale. Factorii care au influențat evoluția comerțului exterior sunt: valorificarea oportunităților oferite de acordurile de cooperare internațională (Acordul de Asociere cu Uniunea Europeană, Acordul de Comerț Liber cu Turcia etc.), aprecierea monedei naționale, evoluția pozitivă a sectorului industrial, creșterea moderată a sectorului agricol, majorarea veniturilor populației etc. Pe plan intern se menține importul materiei prime necesare pentru aprovizionarea sectorului de afaceri și funcționarea economiei, precum și celor destinate consumului populației. De asemenea, unul dintre factorii principali ce au </w:t>
      </w:r>
      <w:proofErr w:type="spellStart"/>
      <w:r w:rsidRPr="00E92CE8">
        <w:rPr>
          <w:color w:val="000000" w:themeColor="text1"/>
          <w:kern w:val="24"/>
          <w:sz w:val="24"/>
          <w:szCs w:val="24"/>
          <w:lang w:eastAsia="en-US"/>
        </w:rPr>
        <w:t>influenţat</w:t>
      </w:r>
      <w:proofErr w:type="spellEnd"/>
      <w:r w:rsidRPr="00E92CE8">
        <w:rPr>
          <w:color w:val="000000" w:themeColor="text1"/>
          <w:kern w:val="24"/>
          <w:sz w:val="24"/>
          <w:szCs w:val="24"/>
          <w:lang w:eastAsia="en-US"/>
        </w:rPr>
        <w:t xml:space="preserve"> </w:t>
      </w:r>
      <w:proofErr w:type="spellStart"/>
      <w:r w:rsidRPr="00E92CE8">
        <w:rPr>
          <w:color w:val="000000" w:themeColor="text1"/>
          <w:kern w:val="24"/>
          <w:sz w:val="24"/>
          <w:szCs w:val="24"/>
          <w:lang w:eastAsia="en-US"/>
        </w:rPr>
        <w:t>comerţul</w:t>
      </w:r>
      <w:proofErr w:type="spellEnd"/>
      <w:r w:rsidRPr="00E92CE8">
        <w:rPr>
          <w:color w:val="000000" w:themeColor="text1"/>
          <w:kern w:val="24"/>
          <w:sz w:val="24"/>
          <w:szCs w:val="24"/>
          <w:lang w:eastAsia="en-US"/>
        </w:rPr>
        <w:t xml:space="preserve"> exterior a fost dezvoltarea intensă a ramurii industriei </w:t>
      </w:r>
      <w:proofErr w:type="spellStart"/>
      <w:r w:rsidRPr="00E92CE8">
        <w:rPr>
          <w:color w:val="000000" w:themeColor="text1"/>
          <w:kern w:val="24"/>
          <w:sz w:val="24"/>
          <w:szCs w:val="24"/>
          <w:lang w:eastAsia="en-US"/>
        </w:rPr>
        <w:t>automotive</w:t>
      </w:r>
      <w:proofErr w:type="spellEnd"/>
      <w:r w:rsidRPr="00E92CE8">
        <w:rPr>
          <w:color w:val="000000" w:themeColor="text1"/>
          <w:kern w:val="24"/>
          <w:sz w:val="24"/>
          <w:szCs w:val="24"/>
          <w:lang w:eastAsia="en-US"/>
        </w:rPr>
        <w:t xml:space="preserve">, în contextul creșterii numărului de investitori cointeresați în extinderea activității industriale în </w:t>
      </w:r>
      <w:r w:rsidR="00B71923">
        <w:rPr>
          <w:color w:val="000000" w:themeColor="text1"/>
          <w:kern w:val="24"/>
          <w:sz w:val="24"/>
          <w:szCs w:val="24"/>
          <w:lang w:eastAsia="en-US"/>
        </w:rPr>
        <w:t>țara noastră</w:t>
      </w:r>
      <w:r w:rsidRPr="00E92CE8">
        <w:rPr>
          <w:color w:val="000000" w:themeColor="text1"/>
          <w:kern w:val="24"/>
          <w:sz w:val="24"/>
          <w:szCs w:val="24"/>
          <w:lang w:eastAsia="en-US"/>
        </w:rPr>
        <w:t>.</w:t>
      </w:r>
    </w:p>
    <w:p w:rsidR="009925C8" w:rsidRPr="00E92CE8" w:rsidRDefault="009925C8" w:rsidP="009925C8">
      <w:pPr>
        <w:jc w:val="both"/>
        <w:rPr>
          <w:color w:val="000000" w:themeColor="text1"/>
          <w:kern w:val="24"/>
          <w:sz w:val="24"/>
          <w:szCs w:val="24"/>
          <w:lang w:eastAsia="en-US"/>
        </w:rPr>
      </w:pPr>
    </w:p>
    <w:p w:rsidR="009925C8" w:rsidRPr="00E92CE8" w:rsidRDefault="009925C8" w:rsidP="009925C8">
      <w:pPr>
        <w:jc w:val="both"/>
        <w:rPr>
          <w:color w:val="000000" w:themeColor="text1"/>
          <w:kern w:val="24"/>
          <w:sz w:val="24"/>
          <w:szCs w:val="24"/>
          <w:lang w:eastAsia="en-US"/>
        </w:rPr>
      </w:pPr>
      <w:r w:rsidRPr="00E92CE8">
        <w:rPr>
          <w:color w:val="000000" w:themeColor="text1"/>
          <w:kern w:val="24"/>
          <w:sz w:val="24"/>
          <w:szCs w:val="24"/>
          <w:lang w:eastAsia="en-US"/>
        </w:rPr>
        <w:t>Astfel, exporturile s-au majorat cu 11,6% (în termeni nominali), iar importurile – cu 19,3%. În valoare absolută, exporturile de mărfuri realizate în anul 2017 s-au cifrat la 2706,9,1 mi</w:t>
      </w:r>
      <w:r w:rsidR="00D22495">
        <w:rPr>
          <w:color w:val="000000" w:themeColor="text1"/>
          <w:kern w:val="24"/>
          <w:sz w:val="24"/>
          <w:szCs w:val="24"/>
          <w:lang w:eastAsia="en-US"/>
        </w:rPr>
        <w:t>l. dolari SUA, mai mult cu 281,7</w:t>
      </w:r>
      <w:r w:rsidRPr="00E92CE8">
        <w:rPr>
          <w:color w:val="000000" w:themeColor="text1"/>
          <w:kern w:val="24"/>
          <w:sz w:val="24"/>
          <w:szCs w:val="24"/>
          <w:lang w:eastAsia="en-US"/>
        </w:rPr>
        <w:t xml:space="preserve"> mil. dolari comparativ cu anul 2017, iar importurile au însumat 5764,2</w:t>
      </w:r>
      <w:r w:rsidR="00B71923">
        <w:rPr>
          <w:color w:val="000000" w:themeColor="text1"/>
          <w:kern w:val="24"/>
          <w:sz w:val="24"/>
          <w:szCs w:val="24"/>
          <w:lang w:eastAsia="en-US"/>
        </w:rPr>
        <w:t xml:space="preserve"> </w:t>
      </w:r>
      <w:r w:rsidRPr="00E92CE8">
        <w:rPr>
          <w:color w:val="000000" w:themeColor="text1"/>
          <w:kern w:val="24"/>
          <w:sz w:val="24"/>
          <w:szCs w:val="24"/>
          <w:lang w:eastAsia="en-US"/>
        </w:rPr>
        <w:t>mil. dolari, mai mult cu 932,7 mil. dolari, respectiv.</w:t>
      </w:r>
    </w:p>
    <w:p w:rsidR="009925C8" w:rsidRPr="00E92CE8" w:rsidRDefault="009925C8" w:rsidP="009925C8">
      <w:pPr>
        <w:spacing w:after="160" w:line="259" w:lineRule="auto"/>
        <w:jc w:val="both"/>
        <w:rPr>
          <w:rFonts w:asciiTheme="minorHAnsi" w:eastAsiaTheme="minorHAnsi" w:hAnsiTheme="minorHAnsi" w:cstheme="minorBidi"/>
          <w:color w:val="000000" w:themeColor="text1"/>
          <w:sz w:val="24"/>
          <w:szCs w:val="24"/>
          <w:lang w:eastAsia="en-US"/>
        </w:rPr>
      </w:pPr>
    </w:p>
    <w:p w:rsidR="009925C8" w:rsidRPr="005C04B0" w:rsidRDefault="009925C8" w:rsidP="009925C8">
      <w:pPr>
        <w:tabs>
          <w:tab w:val="left" w:pos="4130"/>
        </w:tabs>
        <w:jc w:val="center"/>
        <w:rPr>
          <w:b/>
          <w:i/>
          <w:sz w:val="24"/>
          <w:szCs w:val="24"/>
        </w:rPr>
      </w:pPr>
      <w:r w:rsidRPr="005C04B0">
        <w:rPr>
          <w:b/>
          <w:i/>
          <w:sz w:val="24"/>
          <w:szCs w:val="24"/>
        </w:rPr>
        <w:t xml:space="preserve">Evoluţia exportului, importului şi soldului </w:t>
      </w:r>
      <w:proofErr w:type="spellStart"/>
      <w:r w:rsidRPr="005C04B0">
        <w:rPr>
          <w:b/>
          <w:i/>
          <w:sz w:val="24"/>
          <w:szCs w:val="24"/>
        </w:rPr>
        <w:t>balanţei</w:t>
      </w:r>
      <w:proofErr w:type="spellEnd"/>
      <w:r w:rsidRPr="005C04B0">
        <w:rPr>
          <w:b/>
          <w:i/>
          <w:sz w:val="24"/>
          <w:szCs w:val="24"/>
        </w:rPr>
        <w:t xml:space="preserve"> comerciale</w:t>
      </w:r>
    </w:p>
    <w:p w:rsidR="009925C8" w:rsidRPr="005C04B0" w:rsidRDefault="009925C8" w:rsidP="009925C8">
      <w:pPr>
        <w:tabs>
          <w:tab w:val="left" w:pos="4130"/>
        </w:tabs>
        <w:jc w:val="center"/>
        <w:rPr>
          <w:b/>
          <w:i/>
          <w:sz w:val="24"/>
          <w:szCs w:val="24"/>
        </w:rPr>
      </w:pPr>
      <w:r w:rsidRPr="005C04B0">
        <w:rPr>
          <w:b/>
          <w:i/>
          <w:sz w:val="24"/>
          <w:szCs w:val="24"/>
        </w:rPr>
        <w:t xml:space="preserve"> în anii 2009-2018, mil. dolari SUA</w:t>
      </w:r>
    </w:p>
    <w:p w:rsidR="009925C8" w:rsidRPr="005C04B0" w:rsidRDefault="009925C8" w:rsidP="009925C8">
      <w:pPr>
        <w:tabs>
          <w:tab w:val="left" w:pos="4130"/>
        </w:tabs>
        <w:jc w:val="center"/>
        <w:rPr>
          <w:b/>
          <w:i/>
          <w:sz w:val="24"/>
          <w:szCs w:val="24"/>
        </w:rPr>
      </w:pPr>
    </w:p>
    <w:p w:rsidR="009925C8" w:rsidRPr="005C04B0" w:rsidRDefault="009925C8" w:rsidP="009925C8">
      <w:pPr>
        <w:tabs>
          <w:tab w:val="left" w:pos="4130"/>
        </w:tabs>
        <w:spacing w:after="160" w:line="259" w:lineRule="auto"/>
        <w:rPr>
          <w:rFonts w:eastAsiaTheme="minorHAnsi"/>
          <w:i/>
          <w:sz w:val="16"/>
          <w:szCs w:val="16"/>
          <w:lang w:eastAsia="en-US"/>
        </w:rPr>
      </w:pPr>
      <w:r w:rsidRPr="005C04B0">
        <w:rPr>
          <w:rFonts w:eastAsiaTheme="minorHAnsi"/>
          <w:noProof/>
          <w:sz w:val="24"/>
          <w:szCs w:val="24"/>
          <w:lang w:val="en-US" w:eastAsia="en-US"/>
        </w:rPr>
        <w:drawing>
          <wp:inline distT="0" distB="0" distL="0" distR="0" wp14:anchorId="54C451D8" wp14:editId="0A849D38">
            <wp:extent cx="6134100" cy="2921971"/>
            <wp:effectExtent l="0" t="0" r="0" b="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5C04B0">
        <w:rPr>
          <w:rFonts w:eastAsiaTheme="minorHAnsi"/>
          <w:i/>
          <w:sz w:val="22"/>
          <w:szCs w:val="22"/>
          <w:lang w:eastAsia="en-US"/>
        </w:rPr>
        <w:t xml:space="preserve">      Sursă: Biroul Național de Statistică </w:t>
      </w:r>
    </w:p>
    <w:p w:rsidR="009925C8" w:rsidRDefault="009925C8" w:rsidP="009925C8">
      <w:pPr>
        <w:jc w:val="both"/>
        <w:rPr>
          <w:color w:val="000000"/>
          <w:sz w:val="24"/>
          <w:szCs w:val="24"/>
        </w:rPr>
      </w:pPr>
      <w:r w:rsidRPr="00E92CE8">
        <w:rPr>
          <w:color w:val="000000"/>
          <w:sz w:val="24"/>
          <w:szCs w:val="24"/>
        </w:rPr>
        <w:t xml:space="preserve">Decalajul în evoluția exporturilor și importurilor a determinat acumularea în 2018 a unui deficit al balanței comerciale de -3057,3 mil. dolari, cu 651 mil. dolari (+27,1%) mai mare față de cel înregistrat în 2017. În structura soldului balanței comerciale predomină soldul negativ la: petrol, produse petroliere și produse înrudite (20% din total), vehicule rutiere (9,5%), gaz și produse industriale obținute din gaz </w:t>
      </w:r>
      <w:r w:rsidR="00B71923">
        <w:rPr>
          <w:color w:val="000000"/>
          <w:sz w:val="24"/>
          <w:szCs w:val="24"/>
        </w:rPr>
        <w:t>(</w:t>
      </w:r>
      <w:r w:rsidRPr="00E92CE8">
        <w:rPr>
          <w:color w:val="000000"/>
          <w:sz w:val="24"/>
          <w:szCs w:val="24"/>
        </w:rPr>
        <w:t>9,3%), fire, țesături, articole textile (7,3%), mașini și aparate specializate pentru industriile specifice (6,3%), produse medicinale și farmaceutice (5,5%), alte articole diverse (5,4%),  mașini și aparate industriale cu aplicații generale; părți și piese detașate ale acestor mașini (5,1%),  etc., acestea fiind destinate atât pentru consumul populației, cât și pentru aprovizionarea sectorului de afaceri. Totodată, s-a înregistrat un sold pozitiv la îmbrăcăminte și accesorii (cu o pondere de 5,5% din soldul total), semințe și fructe oleaginoase (6,6%), cereale și preparate pe bază de cereale (5,4%), băuturi (4,4%), mobilă și părțile ei (3,4%), legume și fructe (3,7%) etc.</w:t>
      </w:r>
    </w:p>
    <w:p w:rsidR="009925C8" w:rsidRPr="00E92CE8" w:rsidRDefault="009925C8" w:rsidP="009925C8">
      <w:pPr>
        <w:jc w:val="both"/>
        <w:rPr>
          <w:color w:val="000000"/>
          <w:sz w:val="24"/>
          <w:szCs w:val="24"/>
        </w:rPr>
      </w:pPr>
    </w:p>
    <w:p w:rsidR="009925C8" w:rsidRDefault="009925C8" w:rsidP="009925C8">
      <w:pPr>
        <w:jc w:val="both"/>
        <w:rPr>
          <w:sz w:val="24"/>
          <w:szCs w:val="24"/>
        </w:rPr>
      </w:pPr>
      <w:r w:rsidRPr="00E92CE8">
        <w:rPr>
          <w:sz w:val="24"/>
          <w:szCs w:val="24"/>
        </w:rPr>
        <w:t xml:space="preserve">În cadrul comerțului exterior pe grupe de țări, balanța comercială a atestat o majorare a deficitului atât în raport cu țările Uniunii Europene de până la 988,4 mil. dolari (792,3 mil. dolari în 2017), cât </w:t>
      </w:r>
      <w:r w:rsidRPr="00E92CE8">
        <w:rPr>
          <w:sz w:val="24"/>
          <w:szCs w:val="24"/>
        </w:rPr>
        <w:lastRenderedPageBreak/>
        <w:t>și în raport cu țările CSI, până la 1033,2 mil. dolari (743,3 mil. dolari în 2017), iar cu alte țări – până la 1035,7 mil. dolari (870,8 mil. dolari în 2017).</w:t>
      </w:r>
    </w:p>
    <w:p w:rsidR="009925C8" w:rsidRPr="00E92CE8" w:rsidRDefault="009925C8" w:rsidP="009925C8">
      <w:pPr>
        <w:jc w:val="both"/>
        <w:rPr>
          <w:i/>
          <w:color w:val="000000"/>
          <w:sz w:val="24"/>
          <w:szCs w:val="24"/>
        </w:rPr>
      </w:pPr>
    </w:p>
    <w:p w:rsidR="009925C8" w:rsidRDefault="009925C8" w:rsidP="009925C8">
      <w:pPr>
        <w:jc w:val="both"/>
        <w:rPr>
          <w:i/>
          <w:color w:val="000000"/>
          <w:sz w:val="24"/>
          <w:szCs w:val="24"/>
        </w:rPr>
      </w:pPr>
      <w:r w:rsidRPr="00E92CE8">
        <w:rPr>
          <w:i/>
          <w:color w:val="000000"/>
          <w:sz w:val="24"/>
          <w:szCs w:val="24"/>
        </w:rPr>
        <w:t>Gradul de acoperire a importurilor cu exporturi în 2018 a constituit 47%, față de 50,2% înregistrat în 2017.</w:t>
      </w:r>
    </w:p>
    <w:p w:rsidR="00B71923" w:rsidRDefault="00B71923" w:rsidP="009925C8">
      <w:pPr>
        <w:jc w:val="both"/>
        <w:rPr>
          <w:color w:val="000000"/>
          <w:sz w:val="24"/>
          <w:szCs w:val="24"/>
        </w:rPr>
      </w:pPr>
    </w:p>
    <w:p w:rsidR="009925C8" w:rsidRPr="003F5507" w:rsidRDefault="009925C8" w:rsidP="009925C8">
      <w:pPr>
        <w:tabs>
          <w:tab w:val="left" w:pos="4130"/>
        </w:tabs>
        <w:jc w:val="center"/>
        <w:outlineLvl w:val="8"/>
        <w:rPr>
          <w:b/>
          <w:bCs/>
          <w:i/>
          <w:sz w:val="24"/>
          <w:szCs w:val="24"/>
        </w:rPr>
      </w:pPr>
      <w:r w:rsidRPr="003F5507">
        <w:rPr>
          <w:b/>
          <w:bCs/>
          <w:i/>
          <w:sz w:val="24"/>
          <w:szCs w:val="24"/>
        </w:rPr>
        <w:t>Dinamica schimburilor comerciale</w:t>
      </w:r>
    </w:p>
    <w:tbl>
      <w:tblPr>
        <w:tblW w:w="965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119"/>
        <w:gridCol w:w="1145"/>
        <w:gridCol w:w="992"/>
        <w:gridCol w:w="1134"/>
        <w:gridCol w:w="1134"/>
        <w:gridCol w:w="1033"/>
        <w:gridCol w:w="1093"/>
      </w:tblGrid>
      <w:tr w:rsidR="009925C8" w:rsidRPr="003F5507" w:rsidTr="00FE59BC">
        <w:trPr>
          <w:cantSplit/>
          <w:trHeight w:val="137"/>
          <w:tblHeader/>
        </w:trPr>
        <w:tc>
          <w:tcPr>
            <w:tcW w:w="3119" w:type="dxa"/>
            <w:vMerge w:val="restart"/>
            <w:vAlign w:val="center"/>
          </w:tcPr>
          <w:p w:rsidR="009925C8" w:rsidRPr="003F5507" w:rsidRDefault="009925C8" w:rsidP="00FE59BC">
            <w:pPr>
              <w:tabs>
                <w:tab w:val="left" w:pos="4130"/>
              </w:tabs>
              <w:jc w:val="center"/>
              <w:rPr>
                <w:sz w:val="18"/>
                <w:szCs w:val="18"/>
              </w:rPr>
            </w:pPr>
          </w:p>
        </w:tc>
        <w:tc>
          <w:tcPr>
            <w:tcW w:w="3271" w:type="dxa"/>
            <w:gridSpan w:val="3"/>
            <w:vAlign w:val="center"/>
          </w:tcPr>
          <w:p w:rsidR="009925C8" w:rsidRPr="003F5507" w:rsidRDefault="009925C8" w:rsidP="00FE59BC">
            <w:pPr>
              <w:tabs>
                <w:tab w:val="left" w:pos="4130"/>
              </w:tabs>
              <w:jc w:val="center"/>
              <w:rPr>
                <w:b/>
              </w:rPr>
            </w:pPr>
            <w:r w:rsidRPr="003F5507">
              <w:rPr>
                <w:b/>
              </w:rPr>
              <w:t>anul 2017</w:t>
            </w:r>
          </w:p>
        </w:tc>
        <w:tc>
          <w:tcPr>
            <w:tcW w:w="3260" w:type="dxa"/>
            <w:gridSpan w:val="3"/>
            <w:vAlign w:val="center"/>
          </w:tcPr>
          <w:p w:rsidR="009925C8" w:rsidRPr="003F5507" w:rsidRDefault="009925C8" w:rsidP="00FE59BC">
            <w:pPr>
              <w:tabs>
                <w:tab w:val="left" w:pos="4130"/>
              </w:tabs>
              <w:jc w:val="center"/>
              <w:rPr>
                <w:b/>
              </w:rPr>
            </w:pPr>
            <w:r w:rsidRPr="003F5507">
              <w:rPr>
                <w:b/>
              </w:rPr>
              <w:t>anul 2018</w:t>
            </w:r>
          </w:p>
        </w:tc>
      </w:tr>
      <w:tr w:rsidR="009925C8" w:rsidRPr="003F5507" w:rsidTr="00FE59BC">
        <w:trPr>
          <w:cantSplit/>
          <w:trHeight w:val="605"/>
          <w:tblHeader/>
        </w:trPr>
        <w:tc>
          <w:tcPr>
            <w:tcW w:w="3119" w:type="dxa"/>
            <w:vMerge/>
            <w:vAlign w:val="center"/>
          </w:tcPr>
          <w:p w:rsidR="009925C8" w:rsidRPr="003F5507" w:rsidRDefault="009925C8" w:rsidP="00FE59BC">
            <w:pPr>
              <w:tabs>
                <w:tab w:val="left" w:pos="4130"/>
              </w:tabs>
              <w:jc w:val="center"/>
              <w:rPr>
                <w:b/>
                <w:sz w:val="18"/>
                <w:szCs w:val="18"/>
              </w:rPr>
            </w:pPr>
          </w:p>
        </w:tc>
        <w:tc>
          <w:tcPr>
            <w:tcW w:w="1145" w:type="dxa"/>
            <w:vAlign w:val="center"/>
          </w:tcPr>
          <w:p w:rsidR="009925C8" w:rsidRPr="003F5507" w:rsidRDefault="009925C8" w:rsidP="00FE59BC">
            <w:pPr>
              <w:tabs>
                <w:tab w:val="left" w:pos="4130"/>
              </w:tabs>
              <w:jc w:val="center"/>
              <w:rPr>
                <w:b/>
                <w:sz w:val="18"/>
                <w:szCs w:val="18"/>
              </w:rPr>
            </w:pPr>
            <w:r w:rsidRPr="003F5507">
              <w:rPr>
                <w:b/>
                <w:sz w:val="18"/>
                <w:szCs w:val="18"/>
              </w:rPr>
              <w:t>mil. dolari SUA</w:t>
            </w:r>
          </w:p>
        </w:tc>
        <w:tc>
          <w:tcPr>
            <w:tcW w:w="992" w:type="dxa"/>
            <w:vAlign w:val="center"/>
          </w:tcPr>
          <w:p w:rsidR="009925C8" w:rsidRPr="003F5507" w:rsidRDefault="009925C8" w:rsidP="00FE59BC">
            <w:pPr>
              <w:tabs>
                <w:tab w:val="left" w:pos="776"/>
              </w:tabs>
              <w:jc w:val="center"/>
              <w:rPr>
                <w:b/>
                <w:sz w:val="18"/>
                <w:szCs w:val="18"/>
              </w:rPr>
            </w:pPr>
            <w:r w:rsidRPr="003F5507">
              <w:rPr>
                <w:b/>
                <w:sz w:val="18"/>
                <w:szCs w:val="18"/>
              </w:rPr>
              <w:t>structura, %</w:t>
            </w:r>
          </w:p>
        </w:tc>
        <w:tc>
          <w:tcPr>
            <w:tcW w:w="1134" w:type="dxa"/>
            <w:vAlign w:val="center"/>
          </w:tcPr>
          <w:p w:rsidR="009925C8" w:rsidRPr="003F5507" w:rsidRDefault="009925C8" w:rsidP="00FE59BC">
            <w:pPr>
              <w:tabs>
                <w:tab w:val="left" w:pos="4130"/>
              </w:tabs>
              <w:jc w:val="center"/>
              <w:rPr>
                <w:b/>
                <w:sz w:val="18"/>
                <w:szCs w:val="18"/>
              </w:rPr>
            </w:pPr>
            <w:r w:rsidRPr="003F5507">
              <w:rPr>
                <w:b/>
                <w:sz w:val="18"/>
                <w:szCs w:val="18"/>
              </w:rPr>
              <w:t>în % faţă de anul 2016</w:t>
            </w:r>
          </w:p>
        </w:tc>
        <w:tc>
          <w:tcPr>
            <w:tcW w:w="1134" w:type="dxa"/>
            <w:vAlign w:val="center"/>
          </w:tcPr>
          <w:p w:rsidR="009925C8" w:rsidRPr="003F5507" w:rsidRDefault="009925C8" w:rsidP="00FE59BC">
            <w:pPr>
              <w:tabs>
                <w:tab w:val="left" w:pos="4130"/>
              </w:tabs>
              <w:jc w:val="center"/>
              <w:rPr>
                <w:b/>
                <w:sz w:val="18"/>
                <w:szCs w:val="18"/>
              </w:rPr>
            </w:pPr>
            <w:r w:rsidRPr="003F5507">
              <w:rPr>
                <w:b/>
                <w:sz w:val="18"/>
                <w:szCs w:val="18"/>
              </w:rPr>
              <w:t>mil. dolari SUA</w:t>
            </w:r>
          </w:p>
        </w:tc>
        <w:tc>
          <w:tcPr>
            <w:tcW w:w="1033" w:type="dxa"/>
            <w:vAlign w:val="center"/>
          </w:tcPr>
          <w:p w:rsidR="009925C8" w:rsidRPr="003F5507" w:rsidRDefault="009925C8" w:rsidP="00FE59BC">
            <w:pPr>
              <w:tabs>
                <w:tab w:val="left" w:pos="4130"/>
              </w:tabs>
              <w:jc w:val="center"/>
              <w:rPr>
                <w:b/>
                <w:sz w:val="18"/>
                <w:szCs w:val="18"/>
              </w:rPr>
            </w:pPr>
            <w:r w:rsidRPr="003F5507">
              <w:rPr>
                <w:b/>
                <w:sz w:val="18"/>
                <w:szCs w:val="18"/>
              </w:rPr>
              <w:t>structura, %</w:t>
            </w:r>
          </w:p>
        </w:tc>
        <w:tc>
          <w:tcPr>
            <w:tcW w:w="1093" w:type="dxa"/>
            <w:vAlign w:val="center"/>
          </w:tcPr>
          <w:p w:rsidR="009925C8" w:rsidRPr="003F5507" w:rsidRDefault="009925C8" w:rsidP="00FE59BC">
            <w:pPr>
              <w:tabs>
                <w:tab w:val="left" w:pos="4130"/>
              </w:tabs>
              <w:jc w:val="center"/>
              <w:rPr>
                <w:b/>
                <w:sz w:val="18"/>
                <w:szCs w:val="18"/>
              </w:rPr>
            </w:pPr>
            <w:r w:rsidRPr="003F5507">
              <w:rPr>
                <w:b/>
                <w:sz w:val="18"/>
                <w:szCs w:val="18"/>
              </w:rPr>
              <w:t>în % faţă de anul 2017</w:t>
            </w:r>
          </w:p>
        </w:tc>
      </w:tr>
      <w:tr w:rsidR="009925C8" w:rsidRPr="003F5507" w:rsidTr="00FE59BC">
        <w:trPr>
          <w:trHeight w:val="167"/>
        </w:trPr>
        <w:tc>
          <w:tcPr>
            <w:tcW w:w="3119" w:type="dxa"/>
          </w:tcPr>
          <w:p w:rsidR="009925C8" w:rsidRPr="003F5507" w:rsidRDefault="009925C8" w:rsidP="00FE59BC">
            <w:pPr>
              <w:tabs>
                <w:tab w:val="left" w:pos="4130"/>
              </w:tabs>
              <w:jc w:val="both"/>
              <w:outlineLvl w:val="7"/>
              <w:rPr>
                <w:b/>
                <w:bCs/>
                <w:sz w:val="18"/>
                <w:szCs w:val="18"/>
              </w:rPr>
            </w:pPr>
            <w:r w:rsidRPr="003F5507">
              <w:rPr>
                <w:b/>
                <w:bCs/>
                <w:sz w:val="18"/>
                <w:szCs w:val="18"/>
              </w:rPr>
              <w:t>Export – total</w:t>
            </w:r>
          </w:p>
        </w:tc>
        <w:tc>
          <w:tcPr>
            <w:tcW w:w="1145" w:type="dxa"/>
            <w:vAlign w:val="center"/>
          </w:tcPr>
          <w:p w:rsidR="009925C8" w:rsidRPr="003F5507" w:rsidRDefault="009925C8" w:rsidP="00FE59BC">
            <w:pPr>
              <w:jc w:val="center"/>
              <w:rPr>
                <w:b/>
                <w:sz w:val="18"/>
                <w:szCs w:val="18"/>
                <w:lang w:val="ro-MD"/>
              </w:rPr>
            </w:pPr>
            <w:r w:rsidRPr="003F5507">
              <w:rPr>
                <w:b/>
                <w:sz w:val="18"/>
                <w:szCs w:val="18"/>
              </w:rPr>
              <w:t>2425,1</w:t>
            </w:r>
          </w:p>
        </w:tc>
        <w:tc>
          <w:tcPr>
            <w:tcW w:w="992" w:type="dxa"/>
            <w:vAlign w:val="center"/>
          </w:tcPr>
          <w:p w:rsidR="009925C8" w:rsidRPr="003F5507" w:rsidRDefault="009925C8" w:rsidP="00FE59BC">
            <w:pPr>
              <w:tabs>
                <w:tab w:val="left" w:pos="4130"/>
              </w:tabs>
              <w:jc w:val="center"/>
              <w:rPr>
                <w:b/>
                <w:sz w:val="18"/>
                <w:szCs w:val="18"/>
                <w:lang w:val="ro-MD"/>
              </w:rPr>
            </w:pPr>
            <w:r w:rsidRPr="003F5507">
              <w:rPr>
                <w:b/>
                <w:sz w:val="18"/>
                <w:szCs w:val="18"/>
              </w:rPr>
              <w:t>100,0</w:t>
            </w:r>
          </w:p>
        </w:tc>
        <w:tc>
          <w:tcPr>
            <w:tcW w:w="1134" w:type="dxa"/>
            <w:vAlign w:val="center"/>
          </w:tcPr>
          <w:p w:rsidR="009925C8" w:rsidRPr="003F5507" w:rsidRDefault="009925C8" w:rsidP="00FE59BC">
            <w:pPr>
              <w:tabs>
                <w:tab w:val="left" w:pos="4130"/>
              </w:tabs>
              <w:jc w:val="center"/>
              <w:rPr>
                <w:b/>
                <w:sz w:val="18"/>
                <w:szCs w:val="18"/>
                <w:lang w:val="ro-MD"/>
              </w:rPr>
            </w:pPr>
            <w:r w:rsidRPr="003F5507">
              <w:rPr>
                <w:b/>
                <w:sz w:val="18"/>
                <w:szCs w:val="18"/>
              </w:rPr>
              <w:t>118,6</w:t>
            </w:r>
          </w:p>
        </w:tc>
        <w:tc>
          <w:tcPr>
            <w:tcW w:w="1134" w:type="dxa"/>
            <w:vAlign w:val="bottom"/>
          </w:tcPr>
          <w:p w:rsidR="009925C8" w:rsidRPr="003F5507" w:rsidRDefault="009925C8" w:rsidP="00FE59BC">
            <w:pPr>
              <w:tabs>
                <w:tab w:val="left" w:pos="362"/>
                <w:tab w:val="left" w:pos="4130"/>
              </w:tabs>
              <w:ind w:right="240"/>
              <w:jc w:val="right"/>
              <w:rPr>
                <w:b/>
                <w:sz w:val="18"/>
                <w:szCs w:val="18"/>
              </w:rPr>
            </w:pPr>
            <w:r w:rsidRPr="003F5507">
              <w:rPr>
                <w:b/>
                <w:sz w:val="18"/>
                <w:szCs w:val="18"/>
              </w:rPr>
              <w:t>2706,9</w:t>
            </w:r>
          </w:p>
        </w:tc>
        <w:tc>
          <w:tcPr>
            <w:tcW w:w="1033" w:type="dxa"/>
            <w:vAlign w:val="bottom"/>
          </w:tcPr>
          <w:p w:rsidR="009925C8" w:rsidRPr="003F5507" w:rsidRDefault="009925C8" w:rsidP="00FE59BC">
            <w:pPr>
              <w:tabs>
                <w:tab w:val="left" w:pos="362"/>
                <w:tab w:val="left" w:pos="4130"/>
              </w:tabs>
              <w:ind w:right="138"/>
              <w:jc w:val="right"/>
              <w:rPr>
                <w:b/>
                <w:sz w:val="18"/>
                <w:szCs w:val="18"/>
              </w:rPr>
            </w:pPr>
            <w:r w:rsidRPr="003F5507">
              <w:rPr>
                <w:b/>
                <w:sz w:val="18"/>
                <w:szCs w:val="18"/>
              </w:rPr>
              <w:t>100,0</w:t>
            </w:r>
          </w:p>
        </w:tc>
        <w:tc>
          <w:tcPr>
            <w:tcW w:w="1093" w:type="dxa"/>
            <w:vAlign w:val="bottom"/>
          </w:tcPr>
          <w:p w:rsidR="009925C8" w:rsidRPr="003F5507" w:rsidRDefault="009925C8" w:rsidP="00FE59BC">
            <w:pPr>
              <w:tabs>
                <w:tab w:val="left" w:pos="362"/>
                <w:tab w:val="left" w:pos="4130"/>
              </w:tabs>
              <w:ind w:right="98"/>
              <w:jc w:val="right"/>
              <w:rPr>
                <w:b/>
                <w:sz w:val="18"/>
                <w:szCs w:val="18"/>
              </w:rPr>
            </w:pPr>
            <w:r w:rsidRPr="003F5507">
              <w:rPr>
                <w:b/>
                <w:sz w:val="18"/>
                <w:szCs w:val="18"/>
              </w:rPr>
              <w:t>111,6</w:t>
            </w:r>
          </w:p>
        </w:tc>
      </w:tr>
      <w:tr w:rsidR="009925C8" w:rsidRPr="003F5507" w:rsidTr="00FE59BC">
        <w:tc>
          <w:tcPr>
            <w:tcW w:w="3119" w:type="dxa"/>
          </w:tcPr>
          <w:p w:rsidR="009925C8" w:rsidRPr="003F5507" w:rsidRDefault="009925C8" w:rsidP="00FE59BC">
            <w:pPr>
              <w:tabs>
                <w:tab w:val="left" w:pos="4130"/>
              </w:tabs>
              <w:jc w:val="both"/>
              <w:rPr>
                <w:b/>
                <w:sz w:val="18"/>
                <w:szCs w:val="18"/>
              </w:rPr>
            </w:pPr>
            <w:r w:rsidRPr="003F5507">
              <w:rPr>
                <w:b/>
                <w:sz w:val="18"/>
                <w:szCs w:val="18"/>
              </w:rPr>
              <w:t xml:space="preserve">        </w:t>
            </w:r>
            <w:r w:rsidRPr="003F5507">
              <w:rPr>
                <w:i/>
                <w:sz w:val="18"/>
                <w:szCs w:val="18"/>
              </w:rPr>
              <w:t>inclusiv în:</w:t>
            </w:r>
          </w:p>
        </w:tc>
        <w:tc>
          <w:tcPr>
            <w:tcW w:w="1145" w:type="dxa"/>
            <w:vAlign w:val="center"/>
          </w:tcPr>
          <w:p w:rsidR="009925C8" w:rsidRPr="003F5507" w:rsidRDefault="009925C8" w:rsidP="00FE59BC">
            <w:pPr>
              <w:jc w:val="center"/>
              <w:rPr>
                <w:sz w:val="18"/>
                <w:szCs w:val="18"/>
                <w:lang w:val="ro-MD"/>
              </w:rPr>
            </w:pPr>
          </w:p>
        </w:tc>
        <w:tc>
          <w:tcPr>
            <w:tcW w:w="992" w:type="dxa"/>
            <w:vAlign w:val="center"/>
          </w:tcPr>
          <w:p w:rsidR="009925C8" w:rsidRPr="003F5507" w:rsidRDefault="009925C8" w:rsidP="00FE59BC">
            <w:pPr>
              <w:tabs>
                <w:tab w:val="left" w:pos="4130"/>
              </w:tabs>
              <w:jc w:val="center"/>
              <w:rPr>
                <w:sz w:val="18"/>
                <w:szCs w:val="18"/>
                <w:lang w:val="ro-MD"/>
              </w:rPr>
            </w:pPr>
          </w:p>
        </w:tc>
        <w:tc>
          <w:tcPr>
            <w:tcW w:w="1134" w:type="dxa"/>
            <w:vAlign w:val="center"/>
          </w:tcPr>
          <w:p w:rsidR="009925C8" w:rsidRPr="003F5507" w:rsidRDefault="009925C8" w:rsidP="00FE59BC">
            <w:pPr>
              <w:tabs>
                <w:tab w:val="left" w:pos="4130"/>
              </w:tabs>
              <w:jc w:val="center"/>
              <w:rPr>
                <w:sz w:val="18"/>
                <w:szCs w:val="18"/>
                <w:lang w:val="ro-MD"/>
              </w:rPr>
            </w:pPr>
          </w:p>
        </w:tc>
        <w:tc>
          <w:tcPr>
            <w:tcW w:w="1134" w:type="dxa"/>
            <w:vAlign w:val="bottom"/>
          </w:tcPr>
          <w:p w:rsidR="009925C8" w:rsidRPr="003F5507" w:rsidRDefault="009925C8" w:rsidP="00FE59BC">
            <w:pPr>
              <w:tabs>
                <w:tab w:val="left" w:pos="362"/>
                <w:tab w:val="left" w:pos="4130"/>
              </w:tabs>
              <w:ind w:right="240"/>
              <w:jc w:val="right"/>
              <w:rPr>
                <w:sz w:val="18"/>
                <w:szCs w:val="18"/>
              </w:rPr>
            </w:pPr>
          </w:p>
        </w:tc>
        <w:tc>
          <w:tcPr>
            <w:tcW w:w="1033" w:type="dxa"/>
            <w:vAlign w:val="bottom"/>
          </w:tcPr>
          <w:p w:rsidR="009925C8" w:rsidRPr="003F5507" w:rsidRDefault="009925C8" w:rsidP="00FE59BC">
            <w:pPr>
              <w:tabs>
                <w:tab w:val="left" w:pos="362"/>
                <w:tab w:val="left" w:pos="4130"/>
              </w:tabs>
              <w:ind w:right="138"/>
              <w:jc w:val="right"/>
              <w:rPr>
                <w:sz w:val="18"/>
                <w:szCs w:val="18"/>
              </w:rPr>
            </w:pPr>
          </w:p>
        </w:tc>
        <w:tc>
          <w:tcPr>
            <w:tcW w:w="1093" w:type="dxa"/>
            <w:vAlign w:val="bottom"/>
          </w:tcPr>
          <w:p w:rsidR="009925C8" w:rsidRPr="003F5507" w:rsidRDefault="009925C8" w:rsidP="00FE59BC">
            <w:pPr>
              <w:tabs>
                <w:tab w:val="left" w:pos="362"/>
                <w:tab w:val="left" w:pos="4130"/>
              </w:tabs>
              <w:ind w:right="98"/>
              <w:jc w:val="right"/>
              <w:rPr>
                <w:sz w:val="18"/>
                <w:szCs w:val="18"/>
              </w:rPr>
            </w:pPr>
          </w:p>
        </w:tc>
      </w:tr>
      <w:tr w:rsidR="009925C8" w:rsidRPr="003F5507" w:rsidTr="00FE59BC">
        <w:tc>
          <w:tcPr>
            <w:tcW w:w="3119" w:type="dxa"/>
          </w:tcPr>
          <w:p w:rsidR="009925C8" w:rsidRPr="003F5507" w:rsidRDefault="009925C8" w:rsidP="00FE59BC">
            <w:pPr>
              <w:tabs>
                <w:tab w:val="left" w:pos="4130"/>
              </w:tabs>
              <w:jc w:val="both"/>
              <w:rPr>
                <w:sz w:val="18"/>
                <w:szCs w:val="18"/>
              </w:rPr>
            </w:pPr>
            <w:r w:rsidRPr="003F5507">
              <w:rPr>
                <w:sz w:val="18"/>
                <w:szCs w:val="18"/>
              </w:rPr>
              <w:t xml:space="preserve">   țările Uniunii Europene (UE-28)</w:t>
            </w:r>
          </w:p>
        </w:tc>
        <w:tc>
          <w:tcPr>
            <w:tcW w:w="1145" w:type="dxa"/>
            <w:vAlign w:val="center"/>
          </w:tcPr>
          <w:p w:rsidR="009925C8" w:rsidRPr="003F5507" w:rsidRDefault="009925C8" w:rsidP="00FE59BC">
            <w:pPr>
              <w:jc w:val="center"/>
              <w:rPr>
                <w:sz w:val="18"/>
                <w:szCs w:val="18"/>
                <w:lang w:val="ro-MD"/>
              </w:rPr>
            </w:pPr>
            <w:r w:rsidRPr="003F5507">
              <w:rPr>
                <w:sz w:val="18"/>
                <w:szCs w:val="18"/>
              </w:rPr>
              <w:t>1596,9</w:t>
            </w:r>
          </w:p>
        </w:tc>
        <w:tc>
          <w:tcPr>
            <w:tcW w:w="992" w:type="dxa"/>
            <w:vAlign w:val="center"/>
          </w:tcPr>
          <w:p w:rsidR="009925C8" w:rsidRPr="003F5507" w:rsidRDefault="009925C8" w:rsidP="00FE59BC">
            <w:pPr>
              <w:tabs>
                <w:tab w:val="left" w:pos="4130"/>
              </w:tabs>
              <w:jc w:val="center"/>
              <w:rPr>
                <w:sz w:val="18"/>
                <w:szCs w:val="18"/>
                <w:lang w:val="ro-MD"/>
              </w:rPr>
            </w:pPr>
            <w:r w:rsidRPr="003F5507">
              <w:rPr>
                <w:sz w:val="18"/>
                <w:szCs w:val="18"/>
              </w:rPr>
              <w:t>65,9</w:t>
            </w:r>
          </w:p>
        </w:tc>
        <w:tc>
          <w:tcPr>
            <w:tcW w:w="1134" w:type="dxa"/>
            <w:vAlign w:val="center"/>
          </w:tcPr>
          <w:p w:rsidR="009925C8" w:rsidRPr="003F5507" w:rsidRDefault="009925C8" w:rsidP="00FE59BC">
            <w:pPr>
              <w:jc w:val="center"/>
              <w:rPr>
                <w:sz w:val="18"/>
                <w:szCs w:val="18"/>
                <w:lang w:val="ro-MD"/>
              </w:rPr>
            </w:pPr>
            <w:r w:rsidRPr="003F5507">
              <w:rPr>
                <w:sz w:val="18"/>
                <w:szCs w:val="18"/>
              </w:rPr>
              <w:t>119,9</w:t>
            </w:r>
          </w:p>
        </w:tc>
        <w:tc>
          <w:tcPr>
            <w:tcW w:w="1134" w:type="dxa"/>
            <w:vAlign w:val="bottom"/>
          </w:tcPr>
          <w:p w:rsidR="009925C8" w:rsidRPr="003F5507" w:rsidRDefault="009925C8" w:rsidP="00FE59BC">
            <w:pPr>
              <w:tabs>
                <w:tab w:val="left" w:pos="362"/>
                <w:tab w:val="left" w:pos="4130"/>
              </w:tabs>
              <w:ind w:right="240"/>
              <w:jc w:val="right"/>
              <w:rPr>
                <w:sz w:val="18"/>
                <w:szCs w:val="18"/>
              </w:rPr>
            </w:pPr>
            <w:r w:rsidRPr="003F5507">
              <w:rPr>
                <w:sz w:val="18"/>
                <w:szCs w:val="18"/>
              </w:rPr>
              <w:t>1862,2</w:t>
            </w:r>
          </w:p>
        </w:tc>
        <w:tc>
          <w:tcPr>
            <w:tcW w:w="1033" w:type="dxa"/>
            <w:vAlign w:val="bottom"/>
          </w:tcPr>
          <w:p w:rsidR="009925C8" w:rsidRPr="003F5507" w:rsidRDefault="009925C8" w:rsidP="00FE59BC">
            <w:pPr>
              <w:tabs>
                <w:tab w:val="left" w:pos="362"/>
                <w:tab w:val="left" w:pos="4130"/>
              </w:tabs>
              <w:ind w:right="138"/>
              <w:jc w:val="right"/>
              <w:rPr>
                <w:sz w:val="18"/>
                <w:szCs w:val="18"/>
              </w:rPr>
            </w:pPr>
            <w:r w:rsidRPr="003F5507">
              <w:rPr>
                <w:sz w:val="18"/>
                <w:szCs w:val="18"/>
              </w:rPr>
              <w:t>68,8</w:t>
            </w:r>
          </w:p>
        </w:tc>
        <w:tc>
          <w:tcPr>
            <w:tcW w:w="1093" w:type="dxa"/>
            <w:vAlign w:val="bottom"/>
          </w:tcPr>
          <w:p w:rsidR="009925C8" w:rsidRPr="003F5507" w:rsidRDefault="009925C8" w:rsidP="00FE59BC">
            <w:pPr>
              <w:tabs>
                <w:tab w:val="left" w:pos="362"/>
                <w:tab w:val="left" w:pos="4130"/>
              </w:tabs>
              <w:ind w:right="98"/>
              <w:jc w:val="right"/>
              <w:rPr>
                <w:sz w:val="18"/>
                <w:szCs w:val="18"/>
              </w:rPr>
            </w:pPr>
            <w:r w:rsidRPr="003F5507">
              <w:rPr>
                <w:sz w:val="18"/>
                <w:szCs w:val="18"/>
              </w:rPr>
              <w:t>116,6</w:t>
            </w:r>
          </w:p>
        </w:tc>
      </w:tr>
      <w:tr w:rsidR="009925C8" w:rsidRPr="003F5507" w:rsidTr="00FE59BC">
        <w:tc>
          <w:tcPr>
            <w:tcW w:w="3119" w:type="dxa"/>
          </w:tcPr>
          <w:p w:rsidR="009925C8" w:rsidRPr="003F5507" w:rsidRDefault="009925C8" w:rsidP="00FE59BC">
            <w:pPr>
              <w:tabs>
                <w:tab w:val="left" w:pos="4130"/>
              </w:tabs>
              <w:jc w:val="both"/>
              <w:rPr>
                <w:sz w:val="18"/>
                <w:szCs w:val="18"/>
              </w:rPr>
            </w:pPr>
            <w:r w:rsidRPr="003F5507">
              <w:rPr>
                <w:b/>
                <w:sz w:val="18"/>
                <w:szCs w:val="18"/>
              </w:rPr>
              <w:t xml:space="preserve">   </w:t>
            </w:r>
            <w:r w:rsidRPr="003F5507">
              <w:rPr>
                <w:sz w:val="18"/>
                <w:szCs w:val="18"/>
              </w:rPr>
              <w:t>țările CSI</w:t>
            </w:r>
          </w:p>
        </w:tc>
        <w:tc>
          <w:tcPr>
            <w:tcW w:w="1145" w:type="dxa"/>
            <w:vAlign w:val="center"/>
          </w:tcPr>
          <w:p w:rsidR="009925C8" w:rsidRPr="003F5507" w:rsidRDefault="009925C8" w:rsidP="00FE59BC">
            <w:pPr>
              <w:jc w:val="center"/>
              <w:rPr>
                <w:sz w:val="18"/>
                <w:szCs w:val="18"/>
                <w:lang w:val="ro-MD"/>
              </w:rPr>
            </w:pPr>
            <w:r w:rsidRPr="003F5507">
              <w:rPr>
                <w:sz w:val="18"/>
                <w:szCs w:val="18"/>
              </w:rPr>
              <w:t>462,9</w:t>
            </w:r>
          </w:p>
        </w:tc>
        <w:tc>
          <w:tcPr>
            <w:tcW w:w="992" w:type="dxa"/>
            <w:vAlign w:val="center"/>
          </w:tcPr>
          <w:p w:rsidR="009925C8" w:rsidRPr="003F5507" w:rsidRDefault="009925C8" w:rsidP="00FE59BC">
            <w:pPr>
              <w:tabs>
                <w:tab w:val="left" w:pos="4130"/>
              </w:tabs>
              <w:jc w:val="center"/>
              <w:rPr>
                <w:sz w:val="18"/>
                <w:szCs w:val="18"/>
                <w:lang w:val="ro-MD"/>
              </w:rPr>
            </w:pPr>
            <w:r w:rsidRPr="003F5507">
              <w:rPr>
                <w:sz w:val="18"/>
                <w:szCs w:val="18"/>
              </w:rPr>
              <w:t>19,1</w:t>
            </w:r>
          </w:p>
        </w:tc>
        <w:tc>
          <w:tcPr>
            <w:tcW w:w="1134" w:type="dxa"/>
            <w:vAlign w:val="center"/>
          </w:tcPr>
          <w:p w:rsidR="009925C8" w:rsidRPr="003F5507" w:rsidRDefault="009925C8" w:rsidP="00FE59BC">
            <w:pPr>
              <w:jc w:val="center"/>
              <w:rPr>
                <w:sz w:val="18"/>
                <w:szCs w:val="18"/>
                <w:lang w:val="ro-MD"/>
              </w:rPr>
            </w:pPr>
            <w:r w:rsidRPr="003F5507">
              <w:rPr>
                <w:sz w:val="18"/>
                <w:szCs w:val="18"/>
              </w:rPr>
              <w:t>111,8</w:t>
            </w:r>
          </w:p>
        </w:tc>
        <w:tc>
          <w:tcPr>
            <w:tcW w:w="1134" w:type="dxa"/>
            <w:vAlign w:val="bottom"/>
          </w:tcPr>
          <w:p w:rsidR="009925C8" w:rsidRPr="003F5507" w:rsidRDefault="009925C8" w:rsidP="00FE59BC">
            <w:pPr>
              <w:tabs>
                <w:tab w:val="left" w:pos="362"/>
                <w:tab w:val="left" w:pos="4130"/>
              </w:tabs>
              <w:ind w:right="240"/>
              <w:jc w:val="right"/>
              <w:rPr>
                <w:sz w:val="18"/>
                <w:szCs w:val="18"/>
              </w:rPr>
            </w:pPr>
            <w:r w:rsidRPr="003F5507">
              <w:rPr>
                <w:sz w:val="18"/>
                <w:szCs w:val="18"/>
              </w:rPr>
              <w:t>415,9</w:t>
            </w:r>
          </w:p>
        </w:tc>
        <w:tc>
          <w:tcPr>
            <w:tcW w:w="1033" w:type="dxa"/>
            <w:vAlign w:val="bottom"/>
          </w:tcPr>
          <w:p w:rsidR="009925C8" w:rsidRPr="003F5507" w:rsidRDefault="009925C8" w:rsidP="00FE59BC">
            <w:pPr>
              <w:tabs>
                <w:tab w:val="left" w:pos="362"/>
                <w:tab w:val="left" w:pos="4130"/>
              </w:tabs>
              <w:ind w:right="138"/>
              <w:jc w:val="right"/>
              <w:rPr>
                <w:sz w:val="18"/>
                <w:szCs w:val="18"/>
              </w:rPr>
            </w:pPr>
            <w:r w:rsidRPr="003F5507">
              <w:rPr>
                <w:sz w:val="18"/>
                <w:szCs w:val="18"/>
              </w:rPr>
              <w:t>15,4</w:t>
            </w:r>
          </w:p>
        </w:tc>
        <w:tc>
          <w:tcPr>
            <w:tcW w:w="1093" w:type="dxa"/>
            <w:vAlign w:val="bottom"/>
          </w:tcPr>
          <w:p w:rsidR="009925C8" w:rsidRPr="003F5507" w:rsidRDefault="009925C8" w:rsidP="00FE59BC">
            <w:pPr>
              <w:tabs>
                <w:tab w:val="left" w:pos="362"/>
                <w:tab w:val="left" w:pos="4130"/>
              </w:tabs>
              <w:ind w:right="98"/>
              <w:jc w:val="right"/>
              <w:rPr>
                <w:sz w:val="18"/>
                <w:szCs w:val="18"/>
              </w:rPr>
            </w:pPr>
            <w:r w:rsidRPr="003F5507">
              <w:rPr>
                <w:sz w:val="18"/>
                <w:szCs w:val="18"/>
              </w:rPr>
              <w:t>89,9</w:t>
            </w:r>
          </w:p>
        </w:tc>
      </w:tr>
      <w:tr w:rsidR="009925C8" w:rsidRPr="003F5507" w:rsidTr="00FE59BC">
        <w:tc>
          <w:tcPr>
            <w:tcW w:w="3119" w:type="dxa"/>
          </w:tcPr>
          <w:p w:rsidR="009925C8" w:rsidRPr="003F5507" w:rsidRDefault="009925C8" w:rsidP="00FE59BC">
            <w:pPr>
              <w:tabs>
                <w:tab w:val="left" w:pos="4130"/>
              </w:tabs>
              <w:jc w:val="both"/>
              <w:rPr>
                <w:sz w:val="18"/>
                <w:szCs w:val="18"/>
              </w:rPr>
            </w:pPr>
            <w:r w:rsidRPr="003F5507">
              <w:rPr>
                <w:b/>
                <w:sz w:val="18"/>
                <w:szCs w:val="18"/>
              </w:rPr>
              <w:t xml:space="preserve">   </w:t>
            </w:r>
            <w:r w:rsidRPr="003F5507">
              <w:rPr>
                <w:sz w:val="18"/>
                <w:szCs w:val="18"/>
              </w:rPr>
              <w:t>alte țări</w:t>
            </w:r>
          </w:p>
        </w:tc>
        <w:tc>
          <w:tcPr>
            <w:tcW w:w="1145" w:type="dxa"/>
            <w:vAlign w:val="center"/>
          </w:tcPr>
          <w:p w:rsidR="009925C8" w:rsidRPr="003F5507" w:rsidRDefault="009925C8" w:rsidP="00FE59BC">
            <w:pPr>
              <w:jc w:val="center"/>
              <w:rPr>
                <w:sz w:val="18"/>
                <w:szCs w:val="18"/>
                <w:lang w:val="ro-MD"/>
              </w:rPr>
            </w:pPr>
            <w:r w:rsidRPr="003F5507">
              <w:rPr>
                <w:sz w:val="18"/>
                <w:szCs w:val="18"/>
              </w:rPr>
              <w:t>365,3</w:t>
            </w:r>
          </w:p>
        </w:tc>
        <w:tc>
          <w:tcPr>
            <w:tcW w:w="992" w:type="dxa"/>
            <w:vAlign w:val="center"/>
          </w:tcPr>
          <w:p w:rsidR="009925C8" w:rsidRPr="003F5507" w:rsidRDefault="009925C8" w:rsidP="00FE59BC">
            <w:pPr>
              <w:tabs>
                <w:tab w:val="left" w:pos="4130"/>
              </w:tabs>
              <w:jc w:val="center"/>
              <w:rPr>
                <w:sz w:val="18"/>
                <w:szCs w:val="18"/>
                <w:lang w:val="ro-MD"/>
              </w:rPr>
            </w:pPr>
            <w:r w:rsidRPr="003F5507">
              <w:rPr>
                <w:sz w:val="18"/>
                <w:szCs w:val="18"/>
              </w:rPr>
              <w:t>15,1</w:t>
            </w:r>
          </w:p>
        </w:tc>
        <w:tc>
          <w:tcPr>
            <w:tcW w:w="1134" w:type="dxa"/>
            <w:vAlign w:val="center"/>
          </w:tcPr>
          <w:p w:rsidR="009925C8" w:rsidRPr="003F5507" w:rsidRDefault="009925C8" w:rsidP="00FE59BC">
            <w:pPr>
              <w:jc w:val="center"/>
              <w:rPr>
                <w:sz w:val="18"/>
                <w:szCs w:val="18"/>
                <w:lang w:val="ro-MD"/>
              </w:rPr>
            </w:pPr>
            <w:r w:rsidRPr="003F5507">
              <w:rPr>
                <w:sz w:val="18"/>
                <w:szCs w:val="18"/>
              </w:rPr>
              <w:t>122,4</w:t>
            </w:r>
          </w:p>
        </w:tc>
        <w:tc>
          <w:tcPr>
            <w:tcW w:w="1134" w:type="dxa"/>
            <w:vAlign w:val="bottom"/>
          </w:tcPr>
          <w:p w:rsidR="009925C8" w:rsidRPr="003F5507" w:rsidRDefault="009925C8" w:rsidP="00FE59BC">
            <w:pPr>
              <w:tabs>
                <w:tab w:val="left" w:pos="362"/>
                <w:tab w:val="left" w:pos="4130"/>
              </w:tabs>
              <w:ind w:right="240"/>
              <w:jc w:val="right"/>
              <w:rPr>
                <w:sz w:val="18"/>
                <w:szCs w:val="18"/>
              </w:rPr>
            </w:pPr>
            <w:r w:rsidRPr="003F5507">
              <w:rPr>
                <w:sz w:val="18"/>
                <w:szCs w:val="18"/>
              </w:rPr>
              <w:t>428,8</w:t>
            </w:r>
          </w:p>
        </w:tc>
        <w:tc>
          <w:tcPr>
            <w:tcW w:w="1033" w:type="dxa"/>
            <w:vAlign w:val="bottom"/>
          </w:tcPr>
          <w:p w:rsidR="009925C8" w:rsidRPr="003F5507" w:rsidRDefault="009925C8" w:rsidP="00FE59BC">
            <w:pPr>
              <w:tabs>
                <w:tab w:val="left" w:pos="362"/>
                <w:tab w:val="left" w:pos="4130"/>
              </w:tabs>
              <w:ind w:right="138"/>
              <w:jc w:val="right"/>
              <w:rPr>
                <w:sz w:val="18"/>
                <w:szCs w:val="18"/>
              </w:rPr>
            </w:pPr>
            <w:r w:rsidRPr="003F5507">
              <w:rPr>
                <w:sz w:val="18"/>
                <w:szCs w:val="18"/>
              </w:rPr>
              <w:t>15,8</w:t>
            </w:r>
          </w:p>
        </w:tc>
        <w:tc>
          <w:tcPr>
            <w:tcW w:w="1093" w:type="dxa"/>
            <w:vAlign w:val="bottom"/>
          </w:tcPr>
          <w:p w:rsidR="009925C8" w:rsidRPr="003F5507" w:rsidRDefault="009925C8" w:rsidP="00FE59BC">
            <w:pPr>
              <w:tabs>
                <w:tab w:val="left" w:pos="362"/>
                <w:tab w:val="left" w:pos="4130"/>
              </w:tabs>
              <w:ind w:right="98"/>
              <w:jc w:val="right"/>
              <w:rPr>
                <w:sz w:val="18"/>
                <w:szCs w:val="18"/>
              </w:rPr>
            </w:pPr>
            <w:r w:rsidRPr="003F5507">
              <w:rPr>
                <w:sz w:val="18"/>
                <w:szCs w:val="18"/>
              </w:rPr>
              <w:t>117,4</w:t>
            </w:r>
          </w:p>
        </w:tc>
      </w:tr>
      <w:tr w:rsidR="009925C8" w:rsidRPr="003F5507" w:rsidTr="00FE59BC">
        <w:trPr>
          <w:trHeight w:val="187"/>
        </w:trPr>
        <w:tc>
          <w:tcPr>
            <w:tcW w:w="3119" w:type="dxa"/>
          </w:tcPr>
          <w:p w:rsidR="009925C8" w:rsidRPr="003F5507" w:rsidRDefault="009925C8" w:rsidP="00FE59BC">
            <w:pPr>
              <w:tabs>
                <w:tab w:val="left" w:pos="4130"/>
              </w:tabs>
              <w:outlineLvl w:val="2"/>
              <w:rPr>
                <w:b/>
                <w:bCs/>
                <w:i/>
                <w:sz w:val="18"/>
                <w:szCs w:val="18"/>
              </w:rPr>
            </w:pPr>
            <w:r w:rsidRPr="003F5507">
              <w:rPr>
                <w:b/>
                <w:bCs/>
                <w:sz w:val="18"/>
                <w:szCs w:val="18"/>
              </w:rPr>
              <w:t>Import – total</w:t>
            </w:r>
          </w:p>
        </w:tc>
        <w:tc>
          <w:tcPr>
            <w:tcW w:w="1145" w:type="dxa"/>
            <w:vAlign w:val="center"/>
          </w:tcPr>
          <w:p w:rsidR="009925C8" w:rsidRPr="003F5507" w:rsidRDefault="009925C8" w:rsidP="00FE59BC">
            <w:pPr>
              <w:jc w:val="center"/>
              <w:rPr>
                <w:b/>
                <w:sz w:val="18"/>
                <w:szCs w:val="18"/>
                <w:lang w:val="ro-MD"/>
              </w:rPr>
            </w:pPr>
            <w:r w:rsidRPr="003F5507">
              <w:rPr>
                <w:b/>
                <w:sz w:val="18"/>
                <w:szCs w:val="18"/>
              </w:rPr>
              <w:t>4831,4</w:t>
            </w:r>
          </w:p>
        </w:tc>
        <w:tc>
          <w:tcPr>
            <w:tcW w:w="992" w:type="dxa"/>
            <w:vAlign w:val="center"/>
          </w:tcPr>
          <w:p w:rsidR="009925C8" w:rsidRPr="003F5507" w:rsidRDefault="009925C8" w:rsidP="00FE59BC">
            <w:pPr>
              <w:tabs>
                <w:tab w:val="left" w:pos="4130"/>
              </w:tabs>
              <w:jc w:val="center"/>
              <w:rPr>
                <w:b/>
                <w:sz w:val="18"/>
                <w:szCs w:val="18"/>
                <w:lang w:val="ro-MD"/>
              </w:rPr>
            </w:pPr>
            <w:r w:rsidRPr="003F5507">
              <w:rPr>
                <w:b/>
                <w:sz w:val="18"/>
                <w:szCs w:val="18"/>
              </w:rPr>
              <w:t>100,0</w:t>
            </w:r>
          </w:p>
        </w:tc>
        <w:tc>
          <w:tcPr>
            <w:tcW w:w="1134" w:type="dxa"/>
            <w:vAlign w:val="center"/>
          </w:tcPr>
          <w:p w:rsidR="009925C8" w:rsidRPr="003F5507" w:rsidRDefault="009925C8" w:rsidP="00FE59BC">
            <w:pPr>
              <w:jc w:val="center"/>
              <w:rPr>
                <w:b/>
                <w:sz w:val="18"/>
                <w:szCs w:val="18"/>
                <w:lang w:val="ro-MD"/>
              </w:rPr>
            </w:pPr>
            <w:r w:rsidRPr="003F5507">
              <w:rPr>
                <w:b/>
                <w:sz w:val="18"/>
                <w:szCs w:val="18"/>
              </w:rPr>
              <w:t>120,2</w:t>
            </w:r>
          </w:p>
        </w:tc>
        <w:tc>
          <w:tcPr>
            <w:tcW w:w="1134" w:type="dxa"/>
            <w:vAlign w:val="bottom"/>
          </w:tcPr>
          <w:p w:rsidR="009925C8" w:rsidRPr="003F5507" w:rsidRDefault="009925C8" w:rsidP="00FE59BC">
            <w:pPr>
              <w:tabs>
                <w:tab w:val="left" w:pos="362"/>
                <w:tab w:val="left" w:pos="4130"/>
              </w:tabs>
              <w:ind w:right="240"/>
              <w:jc w:val="right"/>
              <w:rPr>
                <w:b/>
                <w:sz w:val="18"/>
                <w:szCs w:val="18"/>
              </w:rPr>
            </w:pPr>
            <w:r w:rsidRPr="003F5507">
              <w:rPr>
                <w:b/>
                <w:sz w:val="18"/>
                <w:szCs w:val="18"/>
              </w:rPr>
              <w:t>5,764,2</w:t>
            </w:r>
          </w:p>
        </w:tc>
        <w:tc>
          <w:tcPr>
            <w:tcW w:w="1033" w:type="dxa"/>
            <w:vAlign w:val="bottom"/>
          </w:tcPr>
          <w:p w:rsidR="009925C8" w:rsidRPr="003F5507" w:rsidRDefault="009925C8" w:rsidP="00FE59BC">
            <w:pPr>
              <w:tabs>
                <w:tab w:val="left" w:pos="362"/>
                <w:tab w:val="left" w:pos="4130"/>
              </w:tabs>
              <w:ind w:right="138"/>
              <w:jc w:val="right"/>
              <w:rPr>
                <w:b/>
                <w:sz w:val="18"/>
                <w:szCs w:val="18"/>
              </w:rPr>
            </w:pPr>
            <w:r w:rsidRPr="003F5507">
              <w:rPr>
                <w:b/>
                <w:sz w:val="18"/>
                <w:szCs w:val="18"/>
              </w:rPr>
              <w:t>100,0</w:t>
            </w:r>
          </w:p>
        </w:tc>
        <w:tc>
          <w:tcPr>
            <w:tcW w:w="1093" w:type="dxa"/>
            <w:vAlign w:val="bottom"/>
          </w:tcPr>
          <w:p w:rsidR="009925C8" w:rsidRPr="003F5507" w:rsidRDefault="009925C8" w:rsidP="00FE59BC">
            <w:pPr>
              <w:tabs>
                <w:tab w:val="left" w:pos="362"/>
                <w:tab w:val="left" w:pos="4130"/>
              </w:tabs>
              <w:ind w:right="98"/>
              <w:jc w:val="right"/>
              <w:rPr>
                <w:b/>
                <w:sz w:val="18"/>
                <w:szCs w:val="18"/>
              </w:rPr>
            </w:pPr>
            <w:r w:rsidRPr="003F5507">
              <w:rPr>
                <w:b/>
                <w:sz w:val="18"/>
                <w:szCs w:val="18"/>
              </w:rPr>
              <w:t>119,3</w:t>
            </w:r>
          </w:p>
        </w:tc>
      </w:tr>
      <w:tr w:rsidR="009925C8" w:rsidRPr="003F5507" w:rsidTr="00FE59BC">
        <w:trPr>
          <w:trHeight w:val="178"/>
        </w:trPr>
        <w:tc>
          <w:tcPr>
            <w:tcW w:w="3119" w:type="dxa"/>
          </w:tcPr>
          <w:p w:rsidR="009925C8" w:rsidRPr="003F5507" w:rsidRDefault="009925C8" w:rsidP="00FE59BC">
            <w:pPr>
              <w:tabs>
                <w:tab w:val="left" w:pos="4130"/>
              </w:tabs>
              <w:jc w:val="both"/>
              <w:rPr>
                <w:b/>
                <w:sz w:val="18"/>
                <w:szCs w:val="18"/>
              </w:rPr>
            </w:pPr>
            <w:r w:rsidRPr="003F5507">
              <w:rPr>
                <w:b/>
                <w:sz w:val="18"/>
                <w:szCs w:val="18"/>
              </w:rPr>
              <w:t xml:space="preserve">        </w:t>
            </w:r>
            <w:r w:rsidRPr="003F5507">
              <w:rPr>
                <w:i/>
                <w:sz w:val="18"/>
                <w:szCs w:val="18"/>
              </w:rPr>
              <w:t>inclusiv din:</w:t>
            </w:r>
          </w:p>
        </w:tc>
        <w:tc>
          <w:tcPr>
            <w:tcW w:w="1145" w:type="dxa"/>
            <w:vAlign w:val="center"/>
          </w:tcPr>
          <w:p w:rsidR="009925C8" w:rsidRPr="003F5507" w:rsidRDefault="009925C8" w:rsidP="00FE59BC">
            <w:pPr>
              <w:jc w:val="center"/>
              <w:rPr>
                <w:sz w:val="18"/>
                <w:szCs w:val="18"/>
                <w:lang w:val="ro-MD"/>
              </w:rPr>
            </w:pPr>
          </w:p>
        </w:tc>
        <w:tc>
          <w:tcPr>
            <w:tcW w:w="992" w:type="dxa"/>
            <w:vAlign w:val="center"/>
          </w:tcPr>
          <w:p w:rsidR="009925C8" w:rsidRPr="003F5507" w:rsidRDefault="009925C8" w:rsidP="00FE59BC">
            <w:pPr>
              <w:tabs>
                <w:tab w:val="left" w:pos="4130"/>
              </w:tabs>
              <w:jc w:val="center"/>
              <w:rPr>
                <w:sz w:val="18"/>
                <w:szCs w:val="18"/>
                <w:lang w:val="ro-MD"/>
              </w:rPr>
            </w:pPr>
          </w:p>
        </w:tc>
        <w:tc>
          <w:tcPr>
            <w:tcW w:w="1134" w:type="dxa"/>
            <w:vAlign w:val="center"/>
          </w:tcPr>
          <w:p w:rsidR="009925C8" w:rsidRPr="003F5507" w:rsidRDefault="009925C8" w:rsidP="00FE59BC">
            <w:pPr>
              <w:jc w:val="center"/>
              <w:rPr>
                <w:sz w:val="18"/>
                <w:szCs w:val="18"/>
                <w:lang w:val="ro-MD"/>
              </w:rPr>
            </w:pPr>
          </w:p>
        </w:tc>
        <w:tc>
          <w:tcPr>
            <w:tcW w:w="1134" w:type="dxa"/>
            <w:vAlign w:val="bottom"/>
          </w:tcPr>
          <w:p w:rsidR="009925C8" w:rsidRPr="003F5507" w:rsidRDefault="009925C8" w:rsidP="00FE59BC">
            <w:pPr>
              <w:tabs>
                <w:tab w:val="left" w:pos="362"/>
                <w:tab w:val="left" w:pos="4130"/>
              </w:tabs>
              <w:ind w:right="240"/>
              <w:jc w:val="right"/>
              <w:rPr>
                <w:sz w:val="18"/>
                <w:szCs w:val="18"/>
              </w:rPr>
            </w:pPr>
          </w:p>
        </w:tc>
        <w:tc>
          <w:tcPr>
            <w:tcW w:w="1033" w:type="dxa"/>
            <w:vAlign w:val="bottom"/>
          </w:tcPr>
          <w:p w:rsidR="009925C8" w:rsidRPr="003F5507" w:rsidRDefault="009925C8" w:rsidP="00FE59BC">
            <w:pPr>
              <w:tabs>
                <w:tab w:val="left" w:pos="362"/>
                <w:tab w:val="left" w:pos="4130"/>
              </w:tabs>
              <w:ind w:right="138"/>
              <w:jc w:val="right"/>
              <w:rPr>
                <w:sz w:val="18"/>
                <w:szCs w:val="18"/>
              </w:rPr>
            </w:pPr>
          </w:p>
        </w:tc>
        <w:tc>
          <w:tcPr>
            <w:tcW w:w="1093" w:type="dxa"/>
            <w:vAlign w:val="bottom"/>
          </w:tcPr>
          <w:p w:rsidR="009925C8" w:rsidRPr="003F5507" w:rsidRDefault="009925C8" w:rsidP="00FE59BC">
            <w:pPr>
              <w:tabs>
                <w:tab w:val="left" w:pos="362"/>
                <w:tab w:val="left" w:pos="4130"/>
              </w:tabs>
              <w:ind w:right="98"/>
              <w:jc w:val="right"/>
              <w:rPr>
                <w:sz w:val="18"/>
                <w:szCs w:val="18"/>
              </w:rPr>
            </w:pPr>
          </w:p>
        </w:tc>
      </w:tr>
      <w:tr w:rsidR="009925C8" w:rsidRPr="003F5507" w:rsidTr="00FE59BC">
        <w:tc>
          <w:tcPr>
            <w:tcW w:w="3119" w:type="dxa"/>
          </w:tcPr>
          <w:p w:rsidR="009925C8" w:rsidRPr="003F5507" w:rsidRDefault="009925C8" w:rsidP="00FE59BC">
            <w:pPr>
              <w:tabs>
                <w:tab w:val="left" w:pos="4130"/>
              </w:tabs>
              <w:jc w:val="both"/>
              <w:rPr>
                <w:sz w:val="18"/>
                <w:szCs w:val="18"/>
              </w:rPr>
            </w:pPr>
            <w:r w:rsidRPr="003F5507">
              <w:rPr>
                <w:sz w:val="18"/>
                <w:szCs w:val="18"/>
              </w:rPr>
              <w:t xml:space="preserve">   țările Uniunii Europene (UE-28)</w:t>
            </w:r>
          </w:p>
        </w:tc>
        <w:tc>
          <w:tcPr>
            <w:tcW w:w="1145" w:type="dxa"/>
            <w:vAlign w:val="center"/>
          </w:tcPr>
          <w:p w:rsidR="009925C8" w:rsidRPr="003F5507" w:rsidRDefault="009925C8" w:rsidP="00FE59BC">
            <w:pPr>
              <w:jc w:val="center"/>
              <w:rPr>
                <w:sz w:val="18"/>
                <w:szCs w:val="18"/>
                <w:lang w:val="ro-MD"/>
              </w:rPr>
            </w:pPr>
            <w:r w:rsidRPr="003F5507">
              <w:rPr>
                <w:sz w:val="18"/>
                <w:szCs w:val="18"/>
              </w:rPr>
              <w:t>2389,1</w:t>
            </w:r>
          </w:p>
        </w:tc>
        <w:tc>
          <w:tcPr>
            <w:tcW w:w="992" w:type="dxa"/>
            <w:vAlign w:val="center"/>
          </w:tcPr>
          <w:p w:rsidR="009925C8" w:rsidRPr="003F5507" w:rsidRDefault="009925C8" w:rsidP="00FE59BC">
            <w:pPr>
              <w:tabs>
                <w:tab w:val="left" w:pos="4130"/>
              </w:tabs>
              <w:jc w:val="center"/>
              <w:rPr>
                <w:sz w:val="18"/>
                <w:szCs w:val="18"/>
                <w:lang w:val="ro-MD"/>
              </w:rPr>
            </w:pPr>
            <w:r w:rsidRPr="003F5507">
              <w:rPr>
                <w:sz w:val="18"/>
                <w:szCs w:val="18"/>
              </w:rPr>
              <w:t>49,5</w:t>
            </w:r>
          </w:p>
        </w:tc>
        <w:tc>
          <w:tcPr>
            <w:tcW w:w="1134" w:type="dxa"/>
            <w:vAlign w:val="center"/>
          </w:tcPr>
          <w:p w:rsidR="009925C8" w:rsidRPr="003F5507" w:rsidRDefault="009925C8" w:rsidP="00FE59BC">
            <w:pPr>
              <w:jc w:val="center"/>
              <w:rPr>
                <w:sz w:val="18"/>
                <w:szCs w:val="18"/>
                <w:lang w:val="ro-MD"/>
              </w:rPr>
            </w:pPr>
            <w:r w:rsidRPr="003F5507">
              <w:rPr>
                <w:sz w:val="18"/>
                <w:szCs w:val="18"/>
              </w:rPr>
              <w:t>121,1</w:t>
            </w:r>
          </w:p>
        </w:tc>
        <w:tc>
          <w:tcPr>
            <w:tcW w:w="1134" w:type="dxa"/>
            <w:vAlign w:val="bottom"/>
          </w:tcPr>
          <w:p w:rsidR="009925C8" w:rsidRPr="003F5507" w:rsidRDefault="009925C8" w:rsidP="00FE59BC">
            <w:pPr>
              <w:tabs>
                <w:tab w:val="left" w:pos="362"/>
                <w:tab w:val="left" w:pos="4130"/>
              </w:tabs>
              <w:ind w:right="240"/>
              <w:jc w:val="right"/>
              <w:rPr>
                <w:sz w:val="18"/>
                <w:szCs w:val="18"/>
              </w:rPr>
            </w:pPr>
            <w:r w:rsidRPr="003F5507">
              <w:rPr>
                <w:sz w:val="18"/>
                <w:szCs w:val="18"/>
              </w:rPr>
              <w:t>2850.6</w:t>
            </w:r>
          </w:p>
        </w:tc>
        <w:tc>
          <w:tcPr>
            <w:tcW w:w="1033" w:type="dxa"/>
            <w:vAlign w:val="bottom"/>
          </w:tcPr>
          <w:p w:rsidR="009925C8" w:rsidRPr="003F5507" w:rsidRDefault="009925C8" w:rsidP="00FE59BC">
            <w:pPr>
              <w:tabs>
                <w:tab w:val="left" w:pos="362"/>
                <w:tab w:val="left" w:pos="4130"/>
              </w:tabs>
              <w:ind w:right="138"/>
              <w:jc w:val="right"/>
              <w:rPr>
                <w:sz w:val="18"/>
                <w:szCs w:val="18"/>
              </w:rPr>
            </w:pPr>
            <w:r w:rsidRPr="003F5507">
              <w:rPr>
                <w:sz w:val="18"/>
                <w:szCs w:val="18"/>
              </w:rPr>
              <w:t>49,5</w:t>
            </w:r>
          </w:p>
        </w:tc>
        <w:tc>
          <w:tcPr>
            <w:tcW w:w="1093" w:type="dxa"/>
            <w:vAlign w:val="bottom"/>
          </w:tcPr>
          <w:p w:rsidR="009925C8" w:rsidRPr="003F5507" w:rsidRDefault="009925C8" w:rsidP="00FE59BC">
            <w:pPr>
              <w:tabs>
                <w:tab w:val="left" w:pos="362"/>
                <w:tab w:val="left" w:pos="4130"/>
              </w:tabs>
              <w:ind w:right="98"/>
              <w:jc w:val="right"/>
              <w:rPr>
                <w:sz w:val="18"/>
                <w:szCs w:val="18"/>
              </w:rPr>
            </w:pPr>
            <w:r w:rsidRPr="003F5507">
              <w:rPr>
                <w:sz w:val="18"/>
                <w:szCs w:val="18"/>
              </w:rPr>
              <w:t>119,3</w:t>
            </w:r>
          </w:p>
        </w:tc>
      </w:tr>
      <w:tr w:rsidR="009925C8" w:rsidRPr="003F5507" w:rsidTr="00FE59BC">
        <w:tc>
          <w:tcPr>
            <w:tcW w:w="3119" w:type="dxa"/>
          </w:tcPr>
          <w:p w:rsidR="009925C8" w:rsidRPr="003F5507" w:rsidRDefault="009925C8" w:rsidP="00FE59BC">
            <w:pPr>
              <w:tabs>
                <w:tab w:val="left" w:pos="4130"/>
              </w:tabs>
              <w:jc w:val="both"/>
              <w:rPr>
                <w:sz w:val="18"/>
                <w:szCs w:val="18"/>
              </w:rPr>
            </w:pPr>
            <w:r w:rsidRPr="003F5507">
              <w:rPr>
                <w:b/>
                <w:sz w:val="18"/>
                <w:szCs w:val="18"/>
              </w:rPr>
              <w:t xml:space="preserve">   </w:t>
            </w:r>
            <w:r w:rsidRPr="003F5507">
              <w:rPr>
                <w:sz w:val="18"/>
                <w:szCs w:val="18"/>
              </w:rPr>
              <w:t>țările CSI</w:t>
            </w:r>
          </w:p>
        </w:tc>
        <w:tc>
          <w:tcPr>
            <w:tcW w:w="1145" w:type="dxa"/>
            <w:vAlign w:val="center"/>
          </w:tcPr>
          <w:p w:rsidR="009925C8" w:rsidRPr="003F5507" w:rsidRDefault="009925C8" w:rsidP="00FE59BC">
            <w:pPr>
              <w:jc w:val="center"/>
              <w:rPr>
                <w:sz w:val="18"/>
                <w:szCs w:val="18"/>
                <w:lang w:val="ro-MD"/>
              </w:rPr>
            </w:pPr>
            <w:r w:rsidRPr="003F5507">
              <w:rPr>
                <w:sz w:val="18"/>
                <w:szCs w:val="18"/>
              </w:rPr>
              <w:t>1206,1</w:t>
            </w:r>
          </w:p>
        </w:tc>
        <w:tc>
          <w:tcPr>
            <w:tcW w:w="992" w:type="dxa"/>
            <w:vAlign w:val="center"/>
          </w:tcPr>
          <w:p w:rsidR="009925C8" w:rsidRPr="003F5507" w:rsidRDefault="009925C8" w:rsidP="00FE59BC">
            <w:pPr>
              <w:tabs>
                <w:tab w:val="left" w:pos="4130"/>
              </w:tabs>
              <w:jc w:val="center"/>
              <w:rPr>
                <w:sz w:val="18"/>
                <w:szCs w:val="18"/>
                <w:lang w:val="ro-MD"/>
              </w:rPr>
            </w:pPr>
            <w:r w:rsidRPr="003F5507">
              <w:rPr>
                <w:sz w:val="18"/>
                <w:szCs w:val="18"/>
              </w:rPr>
              <w:t>25,0</w:t>
            </w:r>
          </w:p>
        </w:tc>
        <w:tc>
          <w:tcPr>
            <w:tcW w:w="1134" w:type="dxa"/>
            <w:vAlign w:val="center"/>
          </w:tcPr>
          <w:p w:rsidR="009925C8" w:rsidRPr="003F5507" w:rsidRDefault="009925C8" w:rsidP="00FE59BC">
            <w:pPr>
              <w:jc w:val="center"/>
              <w:rPr>
                <w:sz w:val="18"/>
                <w:szCs w:val="18"/>
                <w:lang w:val="ro-MD"/>
              </w:rPr>
            </w:pPr>
            <w:r w:rsidRPr="003F5507">
              <w:rPr>
                <w:sz w:val="18"/>
                <w:szCs w:val="18"/>
              </w:rPr>
              <w:t>117,4</w:t>
            </w:r>
          </w:p>
        </w:tc>
        <w:tc>
          <w:tcPr>
            <w:tcW w:w="1134" w:type="dxa"/>
            <w:vAlign w:val="bottom"/>
          </w:tcPr>
          <w:p w:rsidR="009925C8" w:rsidRPr="003F5507" w:rsidRDefault="009925C8" w:rsidP="00FE59BC">
            <w:pPr>
              <w:tabs>
                <w:tab w:val="left" w:pos="362"/>
                <w:tab w:val="left" w:pos="4130"/>
              </w:tabs>
              <w:ind w:right="240"/>
              <w:jc w:val="right"/>
              <w:rPr>
                <w:sz w:val="18"/>
                <w:szCs w:val="18"/>
              </w:rPr>
            </w:pPr>
            <w:r w:rsidRPr="003F5507">
              <w:rPr>
                <w:sz w:val="18"/>
                <w:szCs w:val="18"/>
              </w:rPr>
              <w:t>1449,1</w:t>
            </w:r>
          </w:p>
        </w:tc>
        <w:tc>
          <w:tcPr>
            <w:tcW w:w="1033" w:type="dxa"/>
            <w:vAlign w:val="bottom"/>
          </w:tcPr>
          <w:p w:rsidR="009925C8" w:rsidRPr="003F5507" w:rsidRDefault="009925C8" w:rsidP="00FE59BC">
            <w:pPr>
              <w:tabs>
                <w:tab w:val="left" w:pos="362"/>
                <w:tab w:val="left" w:pos="4130"/>
              </w:tabs>
              <w:ind w:right="138"/>
              <w:jc w:val="right"/>
              <w:rPr>
                <w:sz w:val="18"/>
                <w:szCs w:val="18"/>
              </w:rPr>
            </w:pPr>
            <w:r w:rsidRPr="003F5507">
              <w:rPr>
                <w:sz w:val="18"/>
                <w:szCs w:val="18"/>
              </w:rPr>
              <w:t>25,1</w:t>
            </w:r>
          </w:p>
        </w:tc>
        <w:tc>
          <w:tcPr>
            <w:tcW w:w="1093" w:type="dxa"/>
            <w:vAlign w:val="bottom"/>
          </w:tcPr>
          <w:p w:rsidR="009925C8" w:rsidRPr="003F5507" w:rsidRDefault="009925C8" w:rsidP="00FE59BC">
            <w:pPr>
              <w:tabs>
                <w:tab w:val="left" w:pos="362"/>
                <w:tab w:val="left" w:pos="4130"/>
              </w:tabs>
              <w:ind w:right="98"/>
              <w:jc w:val="right"/>
              <w:rPr>
                <w:sz w:val="18"/>
                <w:szCs w:val="18"/>
              </w:rPr>
            </w:pPr>
            <w:r w:rsidRPr="003F5507">
              <w:rPr>
                <w:sz w:val="18"/>
                <w:szCs w:val="18"/>
              </w:rPr>
              <w:t>120,2</w:t>
            </w:r>
          </w:p>
        </w:tc>
      </w:tr>
      <w:tr w:rsidR="009925C8" w:rsidRPr="003F5507" w:rsidTr="00FE59BC">
        <w:tc>
          <w:tcPr>
            <w:tcW w:w="3119" w:type="dxa"/>
          </w:tcPr>
          <w:p w:rsidR="009925C8" w:rsidRPr="003F5507" w:rsidRDefault="009925C8" w:rsidP="00FE59BC">
            <w:pPr>
              <w:tabs>
                <w:tab w:val="left" w:pos="4130"/>
              </w:tabs>
              <w:jc w:val="both"/>
              <w:rPr>
                <w:sz w:val="18"/>
                <w:szCs w:val="18"/>
              </w:rPr>
            </w:pPr>
            <w:r w:rsidRPr="003F5507">
              <w:rPr>
                <w:b/>
                <w:sz w:val="18"/>
                <w:szCs w:val="18"/>
              </w:rPr>
              <w:t xml:space="preserve">   </w:t>
            </w:r>
            <w:r w:rsidRPr="003F5507">
              <w:rPr>
                <w:sz w:val="18"/>
                <w:szCs w:val="18"/>
              </w:rPr>
              <w:t>alte țări</w:t>
            </w:r>
          </w:p>
        </w:tc>
        <w:tc>
          <w:tcPr>
            <w:tcW w:w="1145" w:type="dxa"/>
            <w:vAlign w:val="center"/>
          </w:tcPr>
          <w:p w:rsidR="009925C8" w:rsidRPr="003F5507" w:rsidRDefault="009925C8" w:rsidP="00FE59BC">
            <w:pPr>
              <w:jc w:val="center"/>
              <w:rPr>
                <w:sz w:val="18"/>
                <w:szCs w:val="18"/>
                <w:lang w:val="ro-MD"/>
              </w:rPr>
            </w:pPr>
            <w:r w:rsidRPr="003F5507">
              <w:rPr>
                <w:sz w:val="18"/>
                <w:szCs w:val="18"/>
              </w:rPr>
              <w:t>1236,2</w:t>
            </w:r>
          </w:p>
        </w:tc>
        <w:tc>
          <w:tcPr>
            <w:tcW w:w="992" w:type="dxa"/>
            <w:vAlign w:val="center"/>
          </w:tcPr>
          <w:p w:rsidR="009925C8" w:rsidRPr="003F5507" w:rsidRDefault="009925C8" w:rsidP="00FE59BC">
            <w:pPr>
              <w:tabs>
                <w:tab w:val="left" w:pos="4130"/>
              </w:tabs>
              <w:jc w:val="center"/>
              <w:rPr>
                <w:sz w:val="18"/>
                <w:szCs w:val="18"/>
                <w:lang w:val="ro-MD"/>
              </w:rPr>
            </w:pPr>
            <w:r w:rsidRPr="003F5507">
              <w:rPr>
                <w:sz w:val="18"/>
                <w:szCs w:val="18"/>
              </w:rPr>
              <w:t>25,6</w:t>
            </w:r>
          </w:p>
        </w:tc>
        <w:tc>
          <w:tcPr>
            <w:tcW w:w="1134" w:type="dxa"/>
            <w:vAlign w:val="center"/>
          </w:tcPr>
          <w:p w:rsidR="009925C8" w:rsidRPr="003F5507" w:rsidRDefault="009925C8" w:rsidP="00FE59BC">
            <w:pPr>
              <w:jc w:val="center"/>
              <w:rPr>
                <w:sz w:val="18"/>
                <w:szCs w:val="18"/>
                <w:lang w:val="ro-MD"/>
              </w:rPr>
            </w:pPr>
            <w:r w:rsidRPr="003F5507">
              <w:rPr>
                <w:sz w:val="18"/>
                <w:szCs w:val="18"/>
              </w:rPr>
              <w:t>121,3</w:t>
            </w:r>
          </w:p>
        </w:tc>
        <w:tc>
          <w:tcPr>
            <w:tcW w:w="1134" w:type="dxa"/>
            <w:vAlign w:val="bottom"/>
          </w:tcPr>
          <w:p w:rsidR="009925C8" w:rsidRPr="003F5507" w:rsidRDefault="003F5507" w:rsidP="00FE59BC">
            <w:pPr>
              <w:tabs>
                <w:tab w:val="left" w:pos="362"/>
                <w:tab w:val="left" w:pos="4130"/>
              </w:tabs>
              <w:ind w:right="240"/>
              <w:jc w:val="right"/>
              <w:rPr>
                <w:sz w:val="18"/>
                <w:szCs w:val="18"/>
              </w:rPr>
            </w:pPr>
            <w:r w:rsidRPr="003F5507">
              <w:rPr>
                <w:sz w:val="18"/>
                <w:szCs w:val="18"/>
              </w:rPr>
              <w:t>1464,5</w:t>
            </w:r>
          </w:p>
        </w:tc>
        <w:tc>
          <w:tcPr>
            <w:tcW w:w="1033" w:type="dxa"/>
            <w:vAlign w:val="bottom"/>
          </w:tcPr>
          <w:p w:rsidR="009925C8" w:rsidRPr="003F5507" w:rsidRDefault="009925C8" w:rsidP="00FE59BC">
            <w:pPr>
              <w:tabs>
                <w:tab w:val="left" w:pos="362"/>
                <w:tab w:val="left" w:pos="4130"/>
              </w:tabs>
              <w:ind w:right="138"/>
              <w:jc w:val="right"/>
              <w:rPr>
                <w:sz w:val="18"/>
                <w:szCs w:val="18"/>
              </w:rPr>
            </w:pPr>
            <w:r w:rsidRPr="003F5507">
              <w:rPr>
                <w:sz w:val="18"/>
                <w:szCs w:val="18"/>
              </w:rPr>
              <w:t>25,4</w:t>
            </w:r>
          </w:p>
        </w:tc>
        <w:tc>
          <w:tcPr>
            <w:tcW w:w="1093" w:type="dxa"/>
            <w:vAlign w:val="bottom"/>
          </w:tcPr>
          <w:p w:rsidR="009925C8" w:rsidRPr="003F5507" w:rsidRDefault="009925C8" w:rsidP="00FE59BC">
            <w:pPr>
              <w:tabs>
                <w:tab w:val="left" w:pos="362"/>
                <w:tab w:val="left" w:pos="4130"/>
              </w:tabs>
              <w:ind w:right="98"/>
              <w:jc w:val="right"/>
              <w:rPr>
                <w:sz w:val="18"/>
                <w:szCs w:val="18"/>
              </w:rPr>
            </w:pPr>
            <w:r w:rsidRPr="003F5507">
              <w:rPr>
                <w:sz w:val="18"/>
                <w:szCs w:val="18"/>
              </w:rPr>
              <w:t>118,5</w:t>
            </w:r>
          </w:p>
        </w:tc>
      </w:tr>
      <w:tr w:rsidR="009925C8" w:rsidRPr="003F5507" w:rsidTr="00FE59BC">
        <w:tc>
          <w:tcPr>
            <w:tcW w:w="3119" w:type="dxa"/>
          </w:tcPr>
          <w:p w:rsidR="009925C8" w:rsidRPr="003F5507" w:rsidRDefault="009925C8" w:rsidP="00FE59BC">
            <w:pPr>
              <w:tabs>
                <w:tab w:val="left" w:pos="4130"/>
              </w:tabs>
              <w:rPr>
                <w:b/>
                <w:sz w:val="18"/>
                <w:szCs w:val="18"/>
              </w:rPr>
            </w:pPr>
            <w:r w:rsidRPr="003F5507">
              <w:rPr>
                <w:b/>
                <w:sz w:val="18"/>
                <w:szCs w:val="18"/>
              </w:rPr>
              <w:t xml:space="preserve">Balanța comercială </w:t>
            </w:r>
          </w:p>
        </w:tc>
        <w:tc>
          <w:tcPr>
            <w:tcW w:w="1145" w:type="dxa"/>
            <w:vAlign w:val="center"/>
          </w:tcPr>
          <w:p w:rsidR="009925C8" w:rsidRPr="003F5507" w:rsidRDefault="009925C8" w:rsidP="00FE59BC">
            <w:pPr>
              <w:tabs>
                <w:tab w:val="left" w:pos="4130"/>
              </w:tabs>
              <w:jc w:val="center"/>
              <w:rPr>
                <w:b/>
                <w:sz w:val="18"/>
                <w:szCs w:val="18"/>
                <w:lang w:val="ro-MD"/>
              </w:rPr>
            </w:pPr>
            <w:r w:rsidRPr="003F5507">
              <w:rPr>
                <w:b/>
                <w:sz w:val="18"/>
                <w:szCs w:val="18"/>
              </w:rPr>
              <w:t>-2406,3</w:t>
            </w:r>
          </w:p>
        </w:tc>
        <w:tc>
          <w:tcPr>
            <w:tcW w:w="992" w:type="dxa"/>
            <w:vAlign w:val="center"/>
          </w:tcPr>
          <w:p w:rsidR="009925C8" w:rsidRPr="003F5507" w:rsidRDefault="009925C8" w:rsidP="00FE59BC">
            <w:pPr>
              <w:tabs>
                <w:tab w:val="left" w:pos="4130"/>
              </w:tabs>
              <w:jc w:val="center"/>
              <w:rPr>
                <w:b/>
                <w:sz w:val="18"/>
                <w:szCs w:val="18"/>
                <w:lang w:val="ro-MD"/>
              </w:rPr>
            </w:pPr>
            <w:r w:rsidRPr="003F5507">
              <w:rPr>
                <w:b/>
                <w:sz w:val="18"/>
                <w:szCs w:val="18"/>
              </w:rPr>
              <w:t>x</w:t>
            </w:r>
          </w:p>
        </w:tc>
        <w:tc>
          <w:tcPr>
            <w:tcW w:w="1134" w:type="dxa"/>
            <w:vAlign w:val="center"/>
          </w:tcPr>
          <w:p w:rsidR="009925C8" w:rsidRPr="003F5507" w:rsidRDefault="009925C8" w:rsidP="00FE59BC">
            <w:pPr>
              <w:tabs>
                <w:tab w:val="left" w:pos="4130"/>
              </w:tabs>
              <w:jc w:val="center"/>
              <w:rPr>
                <w:b/>
                <w:bCs/>
                <w:sz w:val="18"/>
                <w:szCs w:val="18"/>
                <w:lang w:val="ro-MD"/>
              </w:rPr>
            </w:pPr>
            <w:r w:rsidRPr="003F5507">
              <w:rPr>
                <w:b/>
                <w:bCs/>
                <w:sz w:val="18"/>
                <w:szCs w:val="18"/>
              </w:rPr>
              <w:t>121,8</w:t>
            </w:r>
          </w:p>
        </w:tc>
        <w:tc>
          <w:tcPr>
            <w:tcW w:w="1134" w:type="dxa"/>
            <w:vAlign w:val="bottom"/>
          </w:tcPr>
          <w:p w:rsidR="009925C8" w:rsidRPr="003F5507" w:rsidRDefault="009925C8" w:rsidP="00FE59BC">
            <w:pPr>
              <w:tabs>
                <w:tab w:val="left" w:pos="362"/>
                <w:tab w:val="left" w:pos="4130"/>
              </w:tabs>
              <w:ind w:right="240"/>
              <w:jc w:val="right"/>
              <w:rPr>
                <w:b/>
                <w:sz w:val="18"/>
                <w:szCs w:val="18"/>
              </w:rPr>
            </w:pPr>
            <w:r w:rsidRPr="003F5507">
              <w:rPr>
                <w:b/>
                <w:sz w:val="18"/>
                <w:szCs w:val="18"/>
              </w:rPr>
              <w:t>-3057,3</w:t>
            </w:r>
          </w:p>
        </w:tc>
        <w:tc>
          <w:tcPr>
            <w:tcW w:w="1033" w:type="dxa"/>
            <w:vAlign w:val="bottom"/>
          </w:tcPr>
          <w:p w:rsidR="009925C8" w:rsidRPr="003F5507" w:rsidRDefault="009925C8" w:rsidP="00FE59BC">
            <w:pPr>
              <w:tabs>
                <w:tab w:val="left" w:pos="362"/>
                <w:tab w:val="left" w:pos="4130"/>
              </w:tabs>
              <w:ind w:right="138"/>
              <w:jc w:val="right"/>
              <w:rPr>
                <w:b/>
                <w:sz w:val="18"/>
                <w:szCs w:val="18"/>
              </w:rPr>
            </w:pPr>
            <w:r w:rsidRPr="003F5507">
              <w:rPr>
                <w:b/>
                <w:sz w:val="18"/>
                <w:szCs w:val="18"/>
              </w:rPr>
              <w:t>x</w:t>
            </w:r>
          </w:p>
        </w:tc>
        <w:tc>
          <w:tcPr>
            <w:tcW w:w="1093" w:type="dxa"/>
            <w:vAlign w:val="bottom"/>
          </w:tcPr>
          <w:p w:rsidR="009925C8" w:rsidRPr="003F5507" w:rsidRDefault="009925C8" w:rsidP="00FE59BC">
            <w:pPr>
              <w:tabs>
                <w:tab w:val="left" w:pos="362"/>
                <w:tab w:val="left" w:pos="4130"/>
              </w:tabs>
              <w:ind w:right="98"/>
              <w:jc w:val="right"/>
              <w:rPr>
                <w:b/>
                <w:bCs/>
                <w:sz w:val="18"/>
                <w:szCs w:val="18"/>
              </w:rPr>
            </w:pPr>
            <w:r w:rsidRPr="003F5507">
              <w:rPr>
                <w:b/>
                <w:bCs/>
                <w:sz w:val="18"/>
                <w:szCs w:val="18"/>
              </w:rPr>
              <w:t>127,</w:t>
            </w:r>
            <w:r w:rsidR="003F5507" w:rsidRPr="003F5507">
              <w:rPr>
                <w:b/>
                <w:bCs/>
                <w:sz w:val="18"/>
                <w:szCs w:val="18"/>
              </w:rPr>
              <w:t>1</w:t>
            </w:r>
          </w:p>
        </w:tc>
      </w:tr>
      <w:tr w:rsidR="009925C8" w:rsidRPr="003F5507" w:rsidTr="00B71923">
        <w:tc>
          <w:tcPr>
            <w:tcW w:w="3119" w:type="dxa"/>
          </w:tcPr>
          <w:p w:rsidR="009925C8" w:rsidRPr="003F5507" w:rsidRDefault="009925C8" w:rsidP="00FE59BC">
            <w:pPr>
              <w:tabs>
                <w:tab w:val="left" w:pos="4130"/>
              </w:tabs>
              <w:rPr>
                <w:b/>
                <w:sz w:val="18"/>
                <w:szCs w:val="18"/>
              </w:rPr>
            </w:pPr>
            <w:r w:rsidRPr="003F5507">
              <w:rPr>
                <w:b/>
                <w:sz w:val="18"/>
                <w:szCs w:val="18"/>
              </w:rPr>
              <w:t>Gradul de acoperire a importului prin export</w:t>
            </w:r>
          </w:p>
        </w:tc>
        <w:tc>
          <w:tcPr>
            <w:tcW w:w="1145" w:type="dxa"/>
            <w:vAlign w:val="center"/>
          </w:tcPr>
          <w:p w:rsidR="009925C8" w:rsidRPr="003F5507" w:rsidRDefault="009925C8" w:rsidP="00FE59BC">
            <w:pPr>
              <w:tabs>
                <w:tab w:val="left" w:pos="4130"/>
              </w:tabs>
              <w:jc w:val="center"/>
              <w:rPr>
                <w:b/>
                <w:sz w:val="18"/>
                <w:szCs w:val="18"/>
                <w:lang w:val="ro-MD"/>
              </w:rPr>
            </w:pPr>
            <w:r w:rsidRPr="003F5507">
              <w:rPr>
                <w:b/>
                <w:sz w:val="18"/>
                <w:szCs w:val="18"/>
              </w:rPr>
              <w:t>50,2%</w:t>
            </w:r>
          </w:p>
        </w:tc>
        <w:tc>
          <w:tcPr>
            <w:tcW w:w="992" w:type="dxa"/>
            <w:vAlign w:val="center"/>
          </w:tcPr>
          <w:p w:rsidR="009925C8" w:rsidRPr="003F5507" w:rsidRDefault="009925C8" w:rsidP="00FE59BC">
            <w:pPr>
              <w:tabs>
                <w:tab w:val="left" w:pos="4130"/>
              </w:tabs>
              <w:jc w:val="center"/>
              <w:rPr>
                <w:b/>
                <w:sz w:val="18"/>
                <w:szCs w:val="18"/>
                <w:lang w:val="ro-MD"/>
              </w:rPr>
            </w:pPr>
            <w:r w:rsidRPr="003F5507">
              <w:rPr>
                <w:b/>
                <w:sz w:val="18"/>
                <w:szCs w:val="18"/>
              </w:rPr>
              <w:t>x</w:t>
            </w:r>
          </w:p>
        </w:tc>
        <w:tc>
          <w:tcPr>
            <w:tcW w:w="1134" w:type="dxa"/>
            <w:vAlign w:val="center"/>
          </w:tcPr>
          <w:p w:rsidR="009925C8" w:rsidRPr="003F5507" w:rsidRDefault="009925C8" w:rsidP="00FE59BC">
            <w:pPr>
              <w:tabs>
                <w:tab w:val="left" w:pos="4130"/>
              </w:tabs>
              <w:jc w:val="center"/>
              <w:rPr>
                <w:b/>
                <w:sz w:val="18"/>
                <w:szCs w:val="18"/>
                <w:lang w:val="ro-MD"/>
              </w:rPr>
            </w:pPr>
            <w:r w:rsidRPr="003F5507">
              <w:rPr>
                <w:b/>
                <w:sz w:val="18"/>
                <w:szCs w:val="18"/>
              </w:rPr>
              <w:t>-0,7</w:t>
            </w:r>
            <w:r w:rsidR="00B71923">
              <w:rPr>
                <w:b/>
                <w:sz w:val="18"/>
                <w:szCs w:val="18"/>
              </w:rPr>
              <w:t xml:space="preserve"> </w:t>
            </w:r>
            <w:r w:rsidRPr="003F5507">
              <w:rPr>
                <w:b/>
                <w:sz w:val="18"/>
                <w:szCs w:val="18"/>
              </w:rPr>
              <w:t>p.p.</w:t>
            </w:r>
          </w:p>
        </w:tc>
        <w:tc>
          <w:tcPr>
            <w:tcW w:w="1134" w:type="dxa"/>
            <w:vAlign w:val="center"/>
          </w:tcPr>
          <w:p w:rsidR="009925C8" w:rsidRPr="003F5507" w:rsidRDefault="009925C8" w:rsidP="00FE59BC">
            <w:pPr>
              <w:tabs>
                <w:tab w:val="left" w:pos="362"/>
                <w:tab w:val="left" w:pos="4130"/>
              </w:tabs>
              <w:ind w:right="240"/>
              <w:jc w:val="right"/>
              <w:rPr>
                <w:b/>
                <w:sz w:val="18"/>
                <w:szCs w:val="18"/>
              </w:rPr>
            </w:pPr>
            <w:r w:rsidRPr="003F5507">
              <w:rPr>
                <w:b/>
                <w:sz w:val="18"/>
                <w:szCs w:val="18"/>
              </w:rPr>
              <w:t>47</w:t>
            </w:r>
            <w:r w:rsidR="00CC012B">
              <w:rPr>
                <w:b/>
                <w:sz w:val="18"/>
                <w:szCs w:val="18"/>
              </w:rPr>
              <w:t>,0</w:t>
            </w:r>
          </w:p>
        </w:tc>
        <w:tc>
          <w:tcPr>
            <w:tcW w:w="1033" w:type="dxa"/>
            <w:vAlign w:val="center"/>
          </w:tcPr>
          <w:p w:rsidR="009925C8" w:rsidRPr="003F5507" w:rsidRDefault="009925C8" w:rsidP="00FE59BC">
            <w:pPr>
              <w:tabs>
                <w:tab w:val="left" w:pos="362"/>
                <w:tab w:val="left" w:pos="4130"/>
              </w:tabs>
              <w:ind w:right="138"/>
              <w:jc w:val="right"/>
              <w:rPr>
                <w:b/>
                <w:sz w:val="18"/>
                <w:szCs w:val="18"/>
              </w:rPr>
            </w:pPr>
            <w:r w:rsidRPr="003F5507">
              <w:rPr>
                <w:b/>
                <w:sz w:val="18"/>
                <w:szCs w:val="18"/>
              </w:rPr>
              <w:t>x</w:t>
            </w:r>
          </w:p>
        </w:tc>
        <w:tc>
          <w:tcPr>
            <w:tcW w:w="1093" w:type="dxa"/>
            <w:vAlign w:val="center"/>
          </w:tcPr>
          <w:p w:rsidR="009925C8" w:rsidRPr="003F5507" w:rsidRDefault="009925C8" w:rsidP="00FE59BC">
            <w:pPr>
              <w:tabs>
                <w:tab w:val="left" w:pos="362"/>
                <w:tab w:val="left" w:pos="4130"/>
              </w:tabs>
              <w:ind w:right="98"/>
              <w:jc w:val="right"/>
              <w:rPr>
                <w:b/>
                <w:sz w:val="18"/>
                <w:szCs w:val="18"/>
              </w:rPr>
            </w:pPr>
            <w:r w:rsidRPr="003F5507">
              <w:rPr>
                <w:b/>
                <w:sz w:val="18"/>
                <w:szCs w:val="18"/>
              </w:rPr>
              <w:t>-3,2 p.p.</w:t>
            </w:r>
          </w:p>
        </w:tc>
      </w:tr>
    </w:tbl>
    <w:p w:rsidR="009925C8" w:rsidRPr="003F5507" w:rsidRDefault="009925C8" w:rsidP="009925C8">
      <w:pPr>
        <w:tabs>
          <w:tab w:val="left" w:pos="4130"/>
        </w:tabs>
        <w:rPr>
          <w:bCs/>
          <w:i/>
        </w:rPr>
      </w:pPr>
      <w:r w:rsidRPr="003F5507">
        <w:rPr>
          <w:bCs/>
          <w:i/>
        </w:rPr>
        <w:t>Sursă: Biroul Național de Statistică</w:t>
      </w:r>
    </w:p>
    <w:p w:rsidR="009925C8" w:rsidRPr="003F5507" w:rsidRDefault="009925C8" w:rsidP="009925C8">
      <w:pPr>
        <w:tabs>
          <w:tab w:val="left" w:pos="4130"/>
        </w:tabs>
        <w:rPr>
          <w:bCs/>
          <w:sz w:val="24"/>
          <w:szCs w:val="24"/>
          <w:lang w:val="en-US"/>
        </w:rPr>
      </w:pPr>
    </w:p>
    <w:p w:rsidR="009925C8" w:rsidRPr="00E92CE8" w:rsidRDefault="009925C8" w:rsidP="009925C8">
      <w:pPr>
        <w:tabs>
          <w:tab w:val="left" w:pos="4130"/>
        </w:tabs>
        <w:rPr>
          <w:bCs/>
          <w:sz w:val="24"/>
          <w:szCs w:val="24"/>
          <w:lang w:val="en-US"/>
        </w:rPr>
      </w:pPr>
    </w:p>
    <w:p w:rsidR="009925C8" w:rsidRPr="00E92CE8" w:rsidRDefault="009925C8" w:rsidP="009925C8">
      <w:pPr>
        <w:tabs>
          <w:tab w:val="left" w:pos="4130"/>
        </w:tabs>
        <w:jc w:val="both"/>
        <w:rPr>
          <w:b/>
          <w:i/>
          <w:sz w:val="24"/>
          <w:szCs w:val="24"/>
        </w:rPr>
      </w:pPr>
      <w:r w:rsidRPr="00E92CE8">
        <w:rPr>
          <w:b/>
          <w:i/>
          <w:sz w:val="24"/>
          <w:szCs w:val="24"/>
        </w:rPr>
        <w:t>Exporturile după destinație</w:t>
      </w:r>
    </w:p>
    <w:p w:rsidR="009925C8" w:rsidRPr="00E92CE8" w:rsidRDefault="009925C8" w:rsidP="009925C8">
      <w:pPr>
        <w:tabs>
          <w:tab w:val="left" w:pos="4130"/>
        </w:tabs>
        <w:jc w:val="both"/>
        <w:rPr>
          <w:b/>
          <w:i/>
          <w:sz w:val="24"/>
          <w:szCs w:val="24"/>
        </w:rPr>
      </w:pPr>
    </w:p>
    <w:p w:rsidR="009925C8" w:rsidRDefault="009925C8" w:rsidP="00DE6C6A">
      <w:pPr>
        <w:jc w:val="both"/>
        <w:rPr>
          <w:rFonts w:cs="+mn-cs"/>
          <w:color w:val="000000" w:themeColor="text1"/>
          <w:kern w:val="24"/>
          <w:sz w:val="24"/>
          <w:szCs w:val="24"/>
          <w:lang w:eastAsia="en-US"/>
        </w:rPr>
      </w:pPr>
      <w:r w:rsidRPr="00E92CE8">
        <w:rPr>
          <w:rFonts w:cs="+mn-cs"/>
          <w:color w:val="000000" w:themeColor="text1"/>
          <w:kern w:val="24"/>
          <w:sz w:val="24"/>
          <w:szCs w:val="24"/>
          <w:lang w:eastAsia="en-US"/>
        </w:rPr>
        <w:t>În 2018 dinamica exporturilor spre țările Uniunii Europene își continuă tendința de creștere - cu 265,3 mil. dolari (+16,6%), alte țări cu 63,4 mil. dolari (+17,3%), iar țările CSI - cu 46,8 mil. dolari mai puțin (-10,11%), respectiv.</w:t>
      </w:r>
    </w:p>
    <w:p w:rsidR="009925C8" w:rsidRPr="00E92CE8" w:rsidRDefault="009925C8" w:rsidP="009925C8">
      <w:pPr>
        <w:rPr>
          <w:b/>
          <w:i/>
          <w:color w:val="000000"/>
          <w:sz w:val="24"/>
          <w:szCs w:val="24"/>
        </w:rPr>
      </w:pPr>
    </w:p>
    <w:p w:rsidR="009925C8" w:rsidRPr="00C04052" w:rsidRDefault="009925C8" w:rsidP="009925C8">
      <w:pPr>
        <w:jc w:val="center"/>
        <w:rPr>
          <w:b/>
          <w:i/>
          <w:sz w:val="24"/>
          <w:szCs w:val="24"/>
        </w:rPr>
      </w:pPr>
      <w:r w:rsidRPr="00C04052">
        <w:rPr>
          <w:b/>
          <w:i/>
          <w:sz w:val="24"/>
          <w:szCs w:val="24"/>
        </w:rPr>
        <w:t>Primele 10 țări-partenere în derularea export-import</w:t>
      </w:r>
    </w:p>
    <w:p w:rsidR="009925C8" w:rsidRPr="00C04052" w:rsidRDefault="009925C8" w:rsidP="009925C8">
      <w:pPr>
        <w:tabs>
          <w:tab w:val="left" w:pos="4130"/>
        </w:tabs>
        <w:jc w:val="both"/>
        <w:rPr>
          <w:i/>
        </w:rPr>
      </w:pPr>
    </w:p>
    <w:tbl>
      <w:tblPr>
        <w:tblStyle w:val="TableGrid41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746"/>
      </w:tblGrid>
      <w:tr w:rsidR="009925C8" w:rsidRPr="00C04052" w:rsidTr="00FE59BC">
        <w:trPr>
          <w:trHeight w:val="3703"/>
        </w:trPr>
        <w:tc>
          <w:tcPr>
            <w:tcW w:w="4954" w:type="dxa"/>
          </w:tcPr>
          <w:p w:rsidR="009925C8" w:rsidRPr="00C04052" w:rsidRDefault="009925C8" w:rsidP="00083188">
            <w:pPr>
              <w:spacing w:after="160" w:line="259" w:lineRule="auto"/>
              <w:jc w:val="center"/>
              <w:rPr>
                <w:rFonts w:ascii="Times New Roman" w:hAnsi="Times New Roman" w:cs="Times New Roman"/>
                <w:b/>
                <w:i/>
                <w:sz w:val="24"/>
                <w:szCs w:val="24"/>
              </w:rPr>
            </w:pPr>
            <w:r w:rsidRPr="00C04052">
              <w:rPr>
                <w:rFonts w:ascii="Times New Roman" w:hAnsi="Times New Roman" w:cs="Times New Roman"/>
                <w:b/>
                <w:i/>
                <w:sz w:val="24"/>
                <w:szCs w:val="24"/>
              </w:rPr>
              <w:t>2017</w:t>
            </w:r>
          </w:p>
          <w:p w:rsidR="009925C8" w:rsidRPr="00C04052" w:rsidRDefault="009925C8" w:rsidP="00FE59BC">
            <w:pPr>
              <w:tabs>
                <w:tab w:val="left" w:pos="4130"/>
              </w:tabs>
              <w:spacing w:after="160" w:line="259" w:lineRule="auto"/>
              <w:jc w:val="both"/>
              <w:rPr>
                <w:rFonts w:ascii="Times New Roman" w:hAnsi="Times New Roman" w:cs="Times New Roman"/>
                <w:i/>
              </w:rPr>
            </w:pPr>
          </w:p>
          <w:p w:rsidR="009925C8" w:rsidRPr="00C04052" w:rsidRDefault="009925C8" w:rsidP="00FE59BC">
            <w:pPr>
              <w:tabs>
                <w:tab w:val="left" w:pos="4130"/>
              </w:tabs>
              <w:spacing w:after="160" w:line="259" w:lineRule="auto"/>
              <w:jc w:val="both"/>
              <w:rPr>
                <w:rFonts w:ascii="Times New Roman" w:hAnsi="Times New Roman" w:cs="Times New Roman"/>
                <w:i/>
                <w:lang w:val="en-US" w:eastAsia="en-US"/>
              </w:rPr>
            </w:pPr>
            <w:r w:rsidRPr="00C04052">
              <w:rPr>
                <w:noProof/>
                <w:sz w:val="24"/>
                <w:szCs w:val="24"/>
                <w:lang w:val="en-US" w:eastAsia="en-US"/>
              </w:rPr>
              <w:drawing>
                <wp:inline distT="0" distB="0" distL="0" distR="0" wp14:anchorId="1C902757" wp14:editId="6141FEB5">
                  <wp:extent cx="2881223" cy="1943100"/>
                  <wp:effectExtent l="0" t="0" r="0" b="0"/>
                  <wp:docPr id="12" name="Char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9925C8" w:rsidRPr="00C04052" w:rsidRDefault="009925C8" w:rsidP="00FE59BC">
            <w:pPr>
              <w:tabs>
                <w:tab w:val="left" w:pos="4130"/>
              </w:tabs>
              <w:spacing w:after="160" w:line="259" w:lineRule="auto"/>
              <w:jc w:val="both"/>
              <w:rPr>
                <w:rFonts w:ascii="Times New Roman" w:hAnsi="Times New Roman" w:cs="Times New Roman"/>
                <w:i/>
                <w:lang w:val="en-US" w:eastAsia="en-US"/>
              </w:rPr>
            </w:pPr>
          </w:p>
        </w:tc>
        <w:tc>
          <w:tcPr>
            <w:tcW w:w="4683" w:type="dxa"/>
          </w:tcPr>
          <w:p w:rsidR="009925C8" w:rsidRPr="00C04052" w:rsidRDefault="009925C8" w:rsidP="00FE59BC">
            <w:pPr>
              <w:spacing w:after="160" w:line="259" w:lineRule="auto"/>
              <w:jc w:val="center"/>
              <w:rPr>
                <w:rFonts w:ascii="Times New Roman" w:hAnsi="Times New Roman" w:cs="Times New Roman"/>
                <w:b/>
                <w:i/>
                <w:sz w:val="24"/>
                <w:szCs w:val="24"/>
              </w:rPr>
            </w:pPr>
            <w:r w:rsidRPr="00C04052">
              <w:rPr>
                <w:rFonts w:ascii="Times New Roman" w:hAnsi="Times New Roman" w:cs="Times New Roman"/>
                <w:b/>
                <w:i/>
                <w:sz w:val="24"/>
                <w:szCs w:val="24"/>
              </w:rPr>
              <w:t xml:space="preserve">        2018</w:t>
            </w:r>
          </w:p>
          <w:p w:rsidR="009925C8" w:rsidRPr="00C04052" w:rsidRDefault="009925C8" w:rsidP="00FE59BC">
            <w:pPr>
              <w:tabs>
                <w:tab w:val="left" w:pos="4130"/>
              </w:tabs>
              <w:spacing w:after="160" w:line="259" w:lineRule="auto"/>
              <w:jc w:val="both"/>
              <w:rPr>
                <w:rFonts w:ascii="Times New Roman" w:hAnsi="Times New Roman" w:cs="Times New Roman"/>
                <w:i/>
              </w:rPr>
            </w:pPr>
          </w:p>
          <w:p w:rsidR="009925C8" w:rsidRPr="00C04052" w:rsidRDefault="009925C8" w:rsidP="00FE59BC">
            <w:pPr>
              <w:tabs>
                <w:tab w:val="left" w:pos="4130"/>
              </w:tabs>
              <w:spacing w:after="160" w:line="259" w:lineRule="auto"/>
              <w:jc w:val="both"/>
              <w:rPr>
                <w:rFonts w:ascii="Times New Roman" w:hAnsi="Times New Roman" w:cs="Times New Roman"/>
                <w:i/>
              </w:rPr>
            </w:pPr>
            <w:r w:rsidRPr="00C04052">
              <w:rPr>
                <w:noProof/>
                <w:sz w:val="24"/>
                <w:szCs w:val="24"/>
                <w:lang w:val="en-US" w:eastAsia="en-US"/>
              </w:rPr>
              <w:drawing>
                <wp:inline distT="0" distB="0" distL="0" distR="0" wp14:anchorId="3BD5583F" wp14:editId="02A73159">
                  <wp:extent cx="2867720" cy="1950720"/>
                  <wp:effectExtent l="0" t="0" r="8890" b="0"/>
                  <wp:docPr id="16" name="Char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bl>
    <w:p w:rsidR="009925C8" w:rsidRPr="00C04052" w:rsidRDefault="009925C8" w:rsidP="009925C8">
      <w:pPr>
        <w:tabs>
          <w:tab w:val="left" w:pos="4130"/>
        </w:tabs>
        <w:jc w:val="both"/>
        <w:rPr>
          <w:i/>
        </w:rPr>
      </w:pPr>
      <w:r w:rsidRPr="00C04052">
        <w:rPr>
          <w:i/>
        </w:rPr>
        <w:t>Sursă: Biroul Naţional de Statistică</w:t>
      </w:r>
    </w:p>
    <w:p w:rsidR="009925C8" w:rsidRPr="00E92CE8" w:rsidRDefault="009925C8" w:rsidP="009925C8">
      <w:pPr>
        <w:jc w:val="both"/>
        <w:rPr>
          <w:b/>
          <w:i/>
          <w:color w:val="000000" w:themeColor="text1"/>
          <w:sz w:val="24"/>
          <w:szCs w:val="24"/>
        </w:rPr>
      </w:pPr>
    </w:p>
    <w:p w:rsidR="009925C8" w:rsidRPr="00E92CE8" w:rsidRDefault="009925C8" w:rsidP="009925C8">
      <w:pPr>
        <w:jc w:val="both"/>
        <w:rPr>
          <w:b/>
          <w:i/>
          <w:color w:val="000000"/>
          <w:sz w:val="24"/>
          <w:szCs w:val="24"/>
        </w:rPr>
      </w:pPr>
      <w:r w:rsidRPr="00E92CE8">
        <w:rPr>
          <w:rFonts w:eastAsia="Batang" w:cs="+mn-cs"/>
          <w:color w:val="000000" w:themeColor="text1"/>
          <w:kern w:val="24"/>
          <w:sz w:val="24"/>
          <w:szCs w:val="24"/>
          <w:lang w:eastAsia="en-US"/>
        </w:rPr>
        <w:t xml:space="preserve">Accelerarea exporturilor în 2018 s-a datorat preponderent cererii sporite din partea țărilor UE și altor țări (România, Italia, Germania, Franța, Austria, Polonia, Turcia, Belarus etc.). De asemenea, un factor important a fost și valorificarea oportunităților oferite de acordurile de cooperare economică internațională (AA/DCFTA, Acordul de Comerț Liber cu Turcia, etc.). În același timp, exporturile </w:t>
      </w:r>
      <w:r w:rsidRPr="00E92CE8">
        <w:rPr>
          <w:rFonts w:eastAsia="Batang" w:cs="+mn-cs"/>
          <w:color w:val="000000" w:themeColor="text1"/>
          <w:kern w:val="24"/>
          <w:sz w:val="24"/>
          <w:szCs w:val="24"/>
          <w:lang w:eastAsia="en-US"/>
        </w:rPr>
        <w:lastRenderedPageBreak/>
        <w:t>către țările CSI sunt în scădere și, respectiv, contribuția acestora la creșterea exporturilor a fost negativă (-1,9 p.p.).</w:t>
      </w:r>
    </w:p>
    <w:p w:rsidR="009925C8" w:rsidRPr="00E92CE8" w:rsidRDefault="009925C8" w:rsidP="009925C8">
      <w:pPr>
        <w:jc w:val="center"/>
        <w:rPr>
          <w:b/>
          <w:i/>
          <w:color w:val="000000"/>
          <w:sz w:val="24"/>
          <w:szCs w:val="24"/>
        </w:rPr>
      </w:pPr>
    </w:p>
    <w:p w:rsidR="009925C8" w:rsidRPr="00803441" w:rsidRDefault="009925C8" w:rsidP="009925C8">
      <w:pPr>
        <w:jc w:val="center"/>
        <w:rPr>
          <w:b/>
          <w:i/>
          <w:sz w:val="24"/>
          <w:szCs w:val="24"/>
        </w:rPr>
      </w:pPr>
      <w:r w:rsidRPr="00803441">
        <w:rPr>
          <w:b/>
          <w:i/>
          <w:sz w:val="24"/>
          <w:szCs w:val="24"/>
        </w:rPr>
        <w:t xml:space="preserve">Evoluția ratei anuale a exporturilor (%) și contribuția pe categorii de țări (p.p.), </w:t>
      </w:r>
    </w:p>
    <w:p w:rsidR="009925C8" w:rsidRPr="00803441" w:rsidRDefault="009925C8" w:rsidP="009925C8">
      <w:pPr>
        <w:jc w:val="center"/>
        <w:rPr>
          <w:b/>
          <w:i/>
          <w:sz w:val="24"/>
          <w:szCs w:val="24"/>
        </w:rPr>
      </w:pPr>
      <w:r w:rsidRPr="00803441">
        <w:rPr>
          <w:b/>
          <w:i/>
          <w:sz w:val="24"/>
          <w:szCs w:val="24"/>
        </w:rPr>
        <w:t>în anii 2011-2018</w:t>
      </w:r>
    </w:p>
    <w:tbl>
      <w:tblPr>
        <w:tblStyle w:val="TableGrid5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5067"/>
      </w:tblGrid>
      <w:tr w:rsidR="009925C8" w:rsidRPr="00803441" w:rsidTr="00FE59BC">
        <w:tc>
          <w:tcPr>
            <w:tcW w:w="4786" w:type="dxa"/>
          </w:tcPr>
          <w:p w:rsidR="009925C8" w:rsidRPr="00803441" w:rsidRDefault="009925C8" w:rsidP="00FE59BC">
            <w:pPr>
              <w:rPr>
                <w:rFonts w:eastAsia="Batang"/>
                <w:sz w:val="24"/>
                <w:szCs w:val="24"/>
                <w:lang w:val="en-US" w:eastAsia="en-US"/>
              </w:rPr>
            </w:pPr>
            <w:r w:rsidRPr="00803441">
              <w:rPr>
                <w:b/>
                <w:i/>
                <w:noProof/>
                <w:sz w:val="24"/>
                <w:szCs w:val="24"/>
                <w:lang w:val="en-US" w:eastAsia="en-US"/>
              </w:rPr>
              <w:drawing>
                <wp:inline distT="0" distB="0" distL="0" distR="0" wp14:anchorId="631CC93E" wp14:editId="62614C48">
                  <wp:extent cx="2827020" cy="2331720"/>
                  <wp:effectExtent l="0" t="0" r="0" b="0"/>
                  <wp:docPr id="39" name="Диаграм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5067" w:type="dxa"/>
          </w:tcPr>
          <w:p w:rsidR="009925C8" w:rsidRPr="00803441" w:rsidRDefault="009925C8" w:rsidP="00FE59BC">
            <w:pPr>
              <w:rPr>
                <w:rFonts w:eastAsia="Batang"/>
                <w:sz w:val="24"/>
                <w:szCs w:val="24"/>
                <w:lang w:val="en-US" w:eastAsia="en-US"/>
              </w:rPr>
            </w:pPr>
            <w:r w:rsidRPr="00803441">
              <w:rPr>
                <w:b/>
                <w:i/>
                <w:noProof/>
                <w:sz w:val="24"/>
                <w:szCs w:val="24"/>
                <w:lang w:val="en-US" w:eastAsia="en-US"/>
              </w:rPr>
              <w:drawing>
                <wp:inline distT="0" distB="0" distL="0" distR="0" wp14:anchorId="49B84132" wp14:editId="3CA9E93D">
                  <wp:extent cx="2832735" cy="2506980"/>
                  <wp:effectExtent l="0" t="0" r="5715" b="762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bl>
    <w:p w:rsidR="009925C8" w:rsidRPr="00803441" w:rsidRDefault="009925C8" w:rsidP="009925C8">
      <w:pPr>
        <w:rPr>
          <w:rFonts w:eastAsia="Batang"/>
          <w:sz w:val="24"/>
          <w:szCs w:val="24"/>
          <w:lang w:eastAsia="en-US"/>
        </w:rPr>
      </w:pPr>
    </w:p>
    <w:p w:rsidR="009925C8" w:rsidRPr="00803441" w:rsidRDefault="009925C8" w:rsidP="009925C8">
      <w:pPr>
        <w:tabs>
          <w:tab w:val="left" w:pos="4130"/>
        </w:tabs>
        <w:jc w:val="both"/>
        <w:rPr>
          <w:i/>
        </w:rPr>
      </w:pPr>
      <w:r w:rsidRPr="00803441">
        <w:rPr>
          <w:i/>
        </w:rPr>
        <w:t>Sursă: Biroul Naţional de Statistică</w:t>
      </w:r>
    </w:p>
    <w:p w:rsidR="009925C8" w:rsidRDefault="009925C8" w:rsidP="009925C8">
      <w:pPr>
        <w:tabs>
          <w:tab w:val="left" w:pos="4130"/>
        </w:tabs>
        <w:autoSpaceDE w:val="0"/>
        <w:autoSpaceDN w:val="0"/>
        <w:adjustRightInd w:val="0"/>
        <w:jc w:val="both"/>
        <w:rPr>
          <w:color w:val="942B9D"/>
          <w:sz w:val="24"/>
          <w:szCs w:val="24"/>
        </w:rPr>
      </w:pPr>
    </w:p>
    <w:p w:rsidR="009925C8" w:rsidRPr="00526E6C" w:rsidRDefault="009925C8" w:rsidP="009925C8">
      <w:pPr>
        <w:autoSpaceDE w:val="0"/>
        <w:autoSpaceDN w:val="0"/>
        <w:adjustRightInd w:val="0"/>
        <w:jc w:val="both"/>
        <w:rPr>
          <w:rFonts w:ascii="Times New Roman CYR" w:hAnsi="Times New Roman CYR" w:cs="Times New Roman CYR"/>
          <w:color w:val="000000"/>
          <w:kern w:val="24"/>
          <w:sz w:val="24"/>
          <w:szCs w:val="24"/>
          <w:u w:val="single"/>
          <w:lang w:val="en-US" w:eastAsia="en-US"/>
        </w:rPr>
      </w:pPr>
      <w:r>
        <w:rPr>
          <w:b/>
          <w:bCs/>
          <w:color w:val="000000"/>
          <w:kern w:val="24"/>
          <w:sz w:val="24"/>
          <w:szCs w:val="24"/>
          <w:lang w:eastAsia="en-US"/>
        </w:rPr>
        <w:t>Principala destinație a exporturilor Republicii Moldova rămân țările Uniunii Europene</w:t>
      </w:r>
      <w:r w:rsidRPr="00526E6C">
        <w:rPr>
          <w:rFonts w:ascii="Times New Roman CYR" w:hAnsi="Times New Roman CYR" w:cs="Times New Roman CYR"/>
          <w:i/>
          <w:iCs/>
          <w:color w:val="000000"/>
          <w:kern w:val="24"/>
          <w:sz w:val="24"/>
          <w:szCs w:val="24"/>
          <w:lang w:val="en-US" w:eastAsia="en-US"/>
        </w:rPr>
        <w:t>,</w:t>
      </w:r>
      <w:r>
        <w:rPr>
          <w:color w:val="000000"/>
          <w:kern w:val="24"/>
          <w:sz w:val="24"/>
          <w:szCs w:val="24"/>
          <w:lang w:eastAsia="en-US"/>
        </w:rPr>
        <w:t xml:space="preserve"> cu o pondere de circa 68</w:t>
      </w:r>
      <w:r w:rsidR="00083188">
        <w:rPr>
          <w:color w:val="000000"/>
          <w:kern w:val="24"/>
          <w:sz w:val="24"/>
          <w:szCs w:val="24"/>
          <w:lang w:eastAsia="en-US"/>
        </w:rPr>
        <w:t>,</w:t>
      </w:r>
      <w:r>
        <w:rPr>
          <w:color w:val="000000"/>
          <w:kern w:val="24"/>
          <w:sz w:val="24"/>
          <w:szCs w:val="24"/>
          <w:lang w:eastAsia="en-US"/>
        </w:rPr>
        <w:t>8% în total export. Livrările de mărfuri către această grupă de state au însumat 1862,2</w:t>
      </w:r>
      <w:r w:rsidRPr="00526E6C">
        <w:rPr>
          <w:rFonts w:ascii="Times New Roman CYR" w:hAnsi="Times New Roman CYR" w:cs="Times New Roman CYR"/>
          <w:color w:val="000000"/>
          <w:kern w:val="24"/>
          <w:lang w:eastAsia="en-US"/>
        </w:rPr>
        <w:t xml:space="preserve"> </w:t>
      </w:r>
      <w:r w:rsidRPr="00526E6C">
        <w:rPr>
          <w:rFonts w:ascii="Times New Roman CYR" w:hAnsi="Times New Roman CYR" w:cs="Times New Roman CYR"/>
          <w:color w:val="000000"/>
          <w:kern w:val="24"/>
          <w:sz w:val="24"/>
          <w:szCs w:val="24"/>
          <w:lang w:eastAsia="en-US"/>
        </w:rPr>
        <w:t>m</w:t>
      </w:r>
      <w:r>
        <w:rPr>
          <w:color w:val="000000"/>
          <w:kern w:val="24"/>
          <w:sz w:val="24"/>
          <w:szCs w:val="24"/>
          <w:lang w:eastAsia="en-US"/>
        </w:rPr>
        <w:t xml:space="preserve">il. dolari, în creștere cu 16,6% față de 2017. Principalii parteneri sunt România (29,2% din total export), Italia (11,4%), Germania (8,1%), Polonia (3,6%), Marea Britanie (2,9%), Franța (1,8%) și Bulgaria (1,8%). </w:t>
      </w:r>
    </w:p>
    <w:p w:rsidR="009925C8" w:rsidRPr="00526E6C" w:rsidRDefault="009925C8" w:rsidP="009925C8">
      <w:pPr>
        <w:autoSpaceDE w:val="0"/>
        <w:autoSpaceDN w:val="0"/>
        <w:adjustRightInd w:val="0"/>
        <w:jc w:val="both"/>
        <w:rPr>
          <w:rFonts w:ascii="Times New Roman CYR" w:hAnsi="Times New Roman CYR" w:cs="Times New Roman CYR"/>
          <w:color w:val="000000"/>
          <w:kern w:val="24"/>
          <w:sz w:val="24"/>
          <w:szCs w:val="24"/>
          <w:u w:val="single"/>
          <w:lang w:val="en-US" w:eastAsia="en-US"/>
        </w:rPr>
      </w:pPr>
    </w:p>
    <w:p w:rsidR="00B75764" w:rsidRPr="00B75764" w:rsidRDefault="00B75764" w:rsidP="00B75764">
      <w:pPr>
        <w:autoSpaceDE w:val="0"/>
        <w:autoSpaceDN w:val="0"/>
        <w:adjustRightInd w:val="0"/>
        <w:jc w:val="both"/>
        <w:rPr>
          <w:color w:val="000000"/>
          <w:kern w:val="24"/>
          <w:sz w:val="24"/>
          <w:szCs w:val="24"/>
          <w:lang w:eastAsia="en-US"/>
        </w:rPr>
      </w:pPr>
      <w:r w:rsidRPr="00B75764">
        <w:rPr>
          <w:color w:val="000000"/>
          <w:kern w:val="24"/>
          <w:sz w:val="24"/>
          <w:szCs w:val="24"/>
          <w:lang w:eastAsia="en-US"/>
        </w:rPr>
        <w:t xml:space="preserve">Totodată, cele mai importante creșteri ale volumului exporturilor au fost înregistrate cu următoarele țări: Malta – de 25,7 ori (0,6 mil. dolari), Slovacia – de 1,7 ori (17 mil. dolari),  Portugalia de 1,6 ori, însumând 9,3 mil. dolari, Finlanda – de 1,5 ori (0,3 mil. dolari), Italia – de 1,3 ori (309,6 mil. dolari), </w:t>
      </w:r>
    </w:p>
    <w:p w:rsidR="00B75764" w:rsidRPr="00B75764" w:rsidRDefault="00B75764" w:rsidP="00B75764">
      <w:pPr>
        <w:autoSpaceDE w:val="0"/>
        <w:autoSpaceDN w:val="0"/>
        <w:adjustRightInd w:val="0"/>
        <w:jc w:val="both"/>
        <w:rPr>
          <w:color w:val="000000"/>
          <w:kern w:val="24"/>
          <w:sz w:val="24"/>
          <w:szCs w:val="24"/>
          <w:lang w:eastAsia="en-US"/>
        </w:rPr>
      </w:pPr>
      <w:r w:rsidRPr="00B75764">
        <w:rPr>
          <w:color w:val="000000"/>
          <w:kern w:val="24"/>
          <w:sz w:val="24"/>
          <w:szCs w:val="24"/>
          <w:lang w:eastAsia="en-US"/>
        </w:rPr>
        <w:t>Germania – de 1,3 ori (219,9 mil. dolari), Olanda - de 1,3 ori (37,6 mil. dolari),  Croația – de 1,2 ori (0,9 mil. dolari) etc.</w:t>
      </w:r>
    </w:p>
    <w:p w:rsidR="009925C8" w:rsidRPr="00B75764" w:rsidRDefault="009925C8" w:rsidP="009925C8">
      <w:pPr>
        <w:autoSpaceDE w:val="0"/>
        <w:autoSpaceDN w:val="0"/>
        <w:adjustRightInd w:val="0"/>
        <w:jc w:val="both"/>
        <w:rPr>
          <w:rFonts w:ascii="Times New Roman CYR" w:hAnsi="Times New Roman CYR" w:cs="Times New Roman CYR"/>
          <w:color w:val="C00000"/>
          <w:sz w:val="24"/>
          <w:szCs w:val="24"/>
          <w:lang w:eastAsia="en-US"/>
        </w:rPr>
      </w:pPr>
    </w:p>
    <w:p w:rsidR="009925C8" w:rsidRPr="00526E6C" w:rsidRDefault="009925C8" w:rsidP="009925C8">
      <w:pPr>
        <w:tabs>
          <w:tab w:val="left" w:pos="4130"/>
        </w:tabs>
        <w:autoSpaceDE w:val="0"/>
        <w:autoSpaceDN w:val="0"/>
        <w:adjustRightInd w:val="0"/>
        <w:jc w:val="both"/>
        <w:rPr>
          <w:rFonts w:ascii="Times New Roman CYR" w:hAnsi="Times New Roman CYR" w:cs="Times New Roman CYR"/>
          <w:color w:val="000000"/>
          <w:sz w:val="24"/>
          <w:szCs w:val="24"/>
          <w:lang w:val="en-US" w:eastAsia="en-US"/>
        </w:rPr>
      </w:pPr>
      <w:r>
        <w:rPr>
          <w:color w:val="000000"/>
          <w:kern w:val="24"/>
          <w:sz w:val="24"/>
          <w:szCs w:val="24"/>
          <w:lang w:eastAsia="en-US"/>
        </w:rPr>
        <w:t>Livrările către</w:t>
      </w:r>
      <w:r>
        <w:rPr>
          <w:i/>
          <w:iCs/>
          <w:color w:val="000000"/>
          <w:kern w:val="24"/>
          <w:sz w:val="24"/>
          <w:szCs w:val="24"/>
          <w:lang w:eastAsia="en-US"/>
        </w:rPr>
        <w:t xml:space="preserve"> țările CSI </w:t>
      </w:r>
      <w:r>
        <w:rPr>
          <w:color w:val="000000"/>
          <w:kern w:val="24"/>
          <w:sz w:val="24"/>
          <w:szCs w:val="24"/>
          <w:lang w:eastAsia="en-US"/>
        </w:rPr>
        <w:t>dețin o pondere mai mică în volumul total al exportului Republicii Moldova – 15,4%. Exporturile către această grupă de țări au însumat 415,9 mil. dolari, în descreștere cu 10,1% față de 2017. Cea mai mare pondere revine Federației Ruse – 8% în volumul total al exportului, însumând 218,</w:t>
      </w:r>
      <w:r w:rsidRPr="00526E6C">
        <w:rPr>
          <w:rFonts w:ascii="Times New Roman CYR" w:hAnsi="Times New Roman CYR" w:cs="Times New Roman CYR"/>
          <w:color w:val="000000"/>
          <w:kern w:val="24"/>
          <w:sz w:val="24"/>
          <w:szCs w:val="24"/>
          <w:lang w:val="en-US" w:eastAsia="en-US"/>
        </w:rPr>
        <w:t xml:space="preserve">6 mil. </w:t>
      </w:r>
      <w:proofErr w:type="spellStart"/>
      <w:proofErr w:type="gramStart"/>
      <w:r w:rsidRPr="00526E6C">
        <w:rPr>
          <w:rFonts w:ascii="Times New Roman CYR" w:hAnsi="Times New Roman CYR" w:cs="Times New Roman CYR"/>
          <w:color w:val="000000"/>
          <w:kern w:val="24"/>
          <w:sz w:val="24"/>
          <w:szCs w:val="24"/>
          <w:lang w:val="en-US" w:eastAsia="en-US"/>
        </w:rPr>
        <w:t>dolari</w:t>
      </w:r>
      <w:proofErr w:type="spellEnd"/>
      <w:proofErr w:type="gramEnd"/>
      <w:r w:rsidRPr="00526E6C">
        <w:rPr>
          <w:rFonts w:ascii="Times New Roman CYR" w:hAnsi="Times New Roman CYR" w:cs="Times New Roman CYR"/>
          <w:color w:val="000000"/>
          <w:kern w:val="24"/>
          <w:sz w:val="24"/>
          <w:szCs w:val="24"/>
          <w:lang w:val="en-US" w:eastAsia="en-US"/>
        </w:rPr>
        <w:t>, Belarus – 3,</w:t>
      </w:r>
      <w:r>
        <w:rPr>
          <w:color w:val="000000"/>
          <w:kern w:val="24"/>
          <w:sz w:val="24"/>
          <w:szCs w:val="24"/>
          <w:lang w:eastAsia="en-US"/>
        </w:rPr>
        <w:t>2</w:t>
      </w:r>
      <w:r w:rsidRPr="00526E6C">
        <w:rPr>
          <w:rFonts w:ascii="Times New Roman CYR" w:hAnsi="Times New Roman CYR" w:cs="Times New Roman CYR"/>
          <w:color w:val="000000"/>
          <w:kern w:val="24"/>
          <w:sz w:val="24"/>
          <w:szCs w:val="24"/>
          <w:lang w:val="en-US" w:eastAsia="en-US"/>
        </w:rPr>
        <w:t>% (8</w:t>
      </w:r>
      <w:r>
        <w:rPr>
          <w:color w:val="000000"/>
          <w:kern w:val="24"/>
          <w:sz w:val="24"/>
          <w:szCs w:val="24"/>
          <w:lang w:eastAsia="en-US"/>
        </w:rPr>
        <w:t>7</w:t>
      </w:r>
      <w:r w:rsidRPr="00526E6C">
        <w:rPr>
          <w:rFonts w:ascii="Times New Roman CYR" w:hAnsi="Times New Roman CYR" w:cs="Times New Roman CYR"/>
          <w:color w:val="000000"/>
          <w:kern w:val="24"/>
          <w:sz w:val="24"/>
          <w:szCs w:val="24"/>
          <w:lang w:val="en-US" w:eastAsia="en-US"/>
        </w:rPr>
        <w:t xml:space="preserve">,2 mil. </w:t>
      </w:r>
      <w:proofErr w:type="spellStart"/>
      <w:r w:rsidRPr="00526E6C">
        <w:rPr>
          <w:rFonts w:ascii="Times New Roman CYR" w:hAnsi="Times New Roman CYR" w:cs="Times New Roman CYR"/>
          <w:color w:val="000000"/>
          <w:kern w:val="24"/>
          <w:sz w:val="24"/>
          <w:szCs w:val="24"/>
          <w:lang w:val="en-US" w:eastAsia="en-US"/>
        </w:rPr>
        <w:t>dolari</w:t>
      </w:r>
      <w:proofErr w:type="spellEnd"/>
      <w:r w:rsidRPr="00526E6C">
        <w:rPr>
          <w:rFonts w:ascii="Times New Roman CYR" w:hAnsi="Times New Roman CYR" w:cs="Times New Roman CYR"/>
          <w:color w:val="000000"/>
          <w:kern w:val="24"/>
          <w:sz w:val="24"/>
          <w:szCs w:val="24"/>
          <w:lang w:val="en-US" w:eastAsia="en-US"/>
        </w:rPr>
        <w:t xml:space="preserve">) </w:t>
      </w:r>
      <w:proofErr w:type="spellStart"/>
      <w:r w:rsidRPr="00526E6C">
        <w:rPr>
          <w:rFonts w:ascii="Times New Roman CYR" w:hAnsi="Times New Roman CYR" w:cs="Times New Roman CYR"/>
          <w:color w:val="000000"/>
          <w:kern w:val="24"/>
          <w:sz w:val="24"/>
          <w:szCs w:val="24"/>
          <w:lang w:val="en-US" w:eastAsia="en-US"/>
        </w:rPr>
        <w:t>și</w:t>
      </w:r>
      <w:proofErr w:type="spellEnd"/>
      <w:r w:rsidRPr="00526E6C">
        <w:rPr>
          <w:rFonts w:ascii="Times New Roman CYR" w:hAnsi="Times New Roman CYR" w:cs="Times New Roman CYR"/>
          <w:color w:val="000000"/>
          <w:kern w:val="24"/>
          <w:sz w:val="24"/>
          <w:szCs w:val="24"/>
          <w:lang w:val="en-US" w:eastAsia="en-US"/>
        </w:rPr>
        <w:t xml:space="preserve"> </w:t>
      </w:r>
      <w:proofErr w:type="spellStart"/>
      <w:r w:rsidRPr="00526E6C">
        <w:rPr>
          <w:rFonts w:ascii="Times New Roman CYR" w:hAnsi="Times New Roman CYR" w:cs="Times New Roman CYR"/>
          <w:color w:val="000000"/>
          <w:kern w:val="24"/>
          <w:sz w:val="24"/>
          <w:szCs w:val="24"/>
          <w:lang w:val="en-US" w:eastAsia="en-US"/>
        </w:rPr>
        <w:t>Ucrainei</w:t>
      </w:r>
      <w:proofErr w:type="spellEnd"/>
      <w:r w:rsidRPr="00526E6C">
        <w:rPr>
          <w:rFonts w:ascii="Times New Roman CYR" w:hAnsi="Times New Roman CYR" w:cs="Times New Roman CYR"/>
          <w:color w:val="000000"/>
          <w:kern w:val="24"/>
          <w:sz w:val="24"/>
          <w:szCs w:val="24"/>
          <w:lang w:val="en-US" w:eastAsia="en-US"/>
        </w:rPr>
        <w:t xml:space="preserve"> –3% (8</w:t>
      </w:r>
      <w:r>
        <w:rPr>
          <w:color w:val="000000"/>
          <w:kern w:val="24"/>
          <w:sz w:val="24"/>
          <w:szCs w:val="24"/>
          <w:lang w:eastAsia="en-US"/>
        </w:rPr>
        <w:t>0</w:t>
      </w:r>
      <w:r w:rsidRPr="00526E6C">
        <w:rPr>
          <w:rFonts w:ascii="Times New Roman CYR" w:hAnsi="Times New Roman CYR" w:cs="Times New Roman CYR"/>
          <w:color w:val="000000"/>
          <w:kern w:val="24"/>
          <w:sz w:val="24"/>
          <w:szCs w:val="24"/>
          <w:lang w:val="en-US" w:eastAsia="en-US"/>
        </w:rPr>
        <w:t>,</w:t>
      </w:r>
      <w:r>
        <w:rPr>
          <w:color w:val="000000"/>
          <w:kern w:val="24"/>
          <w:sz w:val="24"/>
          <w:szCs w:val="24"/>
          <w:lang w:eastAsia="en-US"/>
        </w:rPr>
        <w:t>3</w:t>
      </w:r>
      <w:r w:rsidRPr="00526E6C">
        <w:rPr>
          <w:rFonts w:ascii="Times New Roman CYR" w:hAnsi="Times New Roman CYR" w:cs="Times New Roman CYR"/>
          <w:color w:val="000000"/>
          <w:kern w:val="24"/>
          <w:sz w:val="24"/>
          <w:szCs w:val="24"/>
          <w:lang w:val="en-US" w:eastAsia="en-US"/>
        </w:rPr>
        <w:t xml:space="preserve"> mil. </w:t>
      </w:r>
      <w:proofErr w:type="spellStart"/>
      <w:r w:rsidRPr="00526E6C">
        <w:rPr>
          <w:rFonts w:ascii="Times New Roman CYR" w:hAnsi="Times New Roman CYR" w:cs="Times New Roman CYR"/>
          <w:color w:val="000000"/>
          <w:kern w:val="24"/>
          <w:sz w:val="24"/>
          <w:szCs w:val="24"/>
          <w:lang w:val="en-US" w:eastAsia="en-US"/>
        </w:rPr>
        <w:t>dolari</w:t>
      </w:r>
      <w:proofErr w:type="spellEnd"/>
      <w:r w:rsidRPr="00526E6C">
        <w:rPr>
          <w:rFonts w:ascii="Times New Roman CYR" w:hAnsi="Times New Roman CYR" w:cs="Times New Roman CYR"/>
          <w:color w:val="000000"/>
          <w:kern w:val="24"/>
          <w:sz w:val="24"/>
          <w:szCs w:val="24"/>
          <w:lang w:val="en-US" w:eastAsia="en-US"/>
        </w:rPr>
        <w:t xml:space="preserve">). </w:t>
      </w:r>
    </w:p>
    <w:p w:rsidR="009925C8" w:rsidRPr="00526E6C" w:rsidRDefault="009925C8" w:rsidP="009925C8">
      <w:pPr>
        <w:tabs>
          <w:tab w:val="left" w:pos="4130"/>
        </w:tabs>
        <w:autoSpaceDE w:val="0"/>
        <w:autoSpaceDN w:val="0"/>
        <w:adjustRightInd w:val="0"/>
        <w:jc w:val="both"/>
        <w:rPr>
          <w:rFonts w:ascii="Times New Roman CYR" w:hAnsi="Times New Roman CYR" w:cs="Times New Roman CYR"/>
          <w:color w:val="000000"/>
          <w:sz w:val="24"/>
          <w:szCs w:val="24"/>
          <w:u w:val="single"/>
          <w:lang w:val="en-US" w:eastAsia="en-US"/>
        </w:rPr>
      </w:pPr>
    </w:p>
    <w:p w:rsidR="009925C8" w:rsidRPr="00526E6C" w:rsidRDefault="009925C8" w:rsidP="009925C8">
      <w:pPr>
        <w:tabs>
          <w:tab w:val="left" w:pos="4130"/>
        </w:tabs>
        <w:autoSpaceDE w:val="0"/>
        <w:autoSpaceDN w:val="0"/>
        <w:adjustRightInd w:val="0"/>
        <w:jc w:val="both"/>
        <w:rPr>
          <w:rFonts w:ascii="Times New Roman CYR" w:hAnsi="Times New Roman CYR" w:cs="Times New Roman CYR"/>
          <w:color w:val="000000"/>
          <w:sz w:val="24"/>
          <w:szCs w:val="24"/>
          <w:u w:val="single"/>
          <w:lang w:val="en-US" w:eastAsia="en-US"/>
        </w:rPr>
      </w:pPr>
      <w:r>
        <w:rPr>
          <w:color w:val="000000"/>
          <w:kern w:val="24"/>
          <w:sz w:val="24"/>
          <w:szCs w:val="24"/>
          <w:lang w:eastAsia="en-US"/>
        </w:rPr>
        <w:t xml:space="preserve">Livrările către </w:t>
      </w:r>
      <w:r>
        <w:rPr>
          <w:i/>
          <w:iCs/>
          <w:color w:val="000000"/>
          <w:kern w:val="24"/>
          <w:sz w:val="24"/>
          <w:szCs w:val="24"/>
          <w:lang w:eastAsia="en-US"/>
        </w:rPr>
        <w:t xml:space="preserve">alte țări </w:t>
      </w:r>
      <w:r>
        <w:rPr>
          <w:color w:val="000000"/>
          <w:kern w:val="24"/>
          <w:sz w:val="24"/>
          <w:szCs w:val="24"/>
          <w:lang w:eastAsia="en-US"/>
        </w:rPr>
        <w:t xml:space="preserve">dețin o pondere de 15,8%, însumând 428,8 mil. dolari, cu 17,3% mai mult față de 2017. Printre acestea se remarcă exporturile către Turcia (106,2 mil. dolari), Elveția (61,1 mil. dolari), Serbia (20,8 mil. dolari), SUA (circa 21,7 mil. dolari), Georgia (circa 20,8 mil. dolari), China (18,8 mil. dolari), Liban (13,9 mil. dolari), Emiratele Arabe Unite (circa 11,7 mil. dolari), </w:t>
      </w:r>
      <w:proofErr w:type="spellStart"/>
      <w:r>
        <w:rPr>
          <w:color w:val="000000"/>
          <w:kern w:val="24"/>
          <w:sz w:val="24"/>
          <w:szCs w:val="24"/>
          <w:lang w:eastAsia="en-US"/>
        </w:rPr>
        <w:t>Ira</w:t>
      </w:r>
      <w:proofErr w:type="spellEnd"/>
      <w:r w:rsidRPr="00526E6C">
        <w:rPr>
          <w:rFonts w:ascii="Times New Roman CYR" w:hAnsi="Times New Roman CYR" w:cs="Times New Roman CYR"/>
          <w:color w:val="000000"/>
          <w:kern w:val="24"/>
          <w:sz w:val="24"/>
          <w:szCs w:val="24"/>
          <w:lang w:val="en-US" w:eastAsia="en-US"/>
        </w:rPr>
        <w:t>k (1</w:t>
      </w:r>
      <w:r>
        <w:rPr>
          <w:color w:val="000000"/>
          <w:kern w:val="24"/>
          <w:sz w:val="24"/>
          <w:szCs w:val="24"/>
          <w:lang w:eastAsia="en-US"/>
        </w:rPr>
        <w:t>1,1</w:t>
      </w:r>
      <w:r w:rsidRPr="00526E6C">
        <w:rPr>
          <w:rFonts w:ascii="Times New Roman CYR" w:hAnsi="Times New Roman CYR" w:cs="Times New Roman CYR"/>
          <w:color w:val="000000"/>
          <w:kern w:val="24"/>
          <w:sz w:val="24"/>
          <w:szCs w:val="24"/>
          <w:lang w:val="en-US" w:eastAsia="en-US"/>
        </w:rPr>
        <w:t xml:space="preserve"> mil. </w:t>
      </w:r>
      <w:proofErr w:type="spellStart"/>
      <w:proofErr w:type="gramStart"/>
      <w:r w:rsidRPr="00526E6C">
        <w:rPr>
          <w:rFonts w:ascii="Times New Roman CYR" w:hAnsi="Times New Roman CYR" w:cs="Times New Roman CYR"/>
          <w:color w:val="000000"/>
          <w:kern w:val="24"/>
          <w:sz w:val="24"/>
          <w:szCs w:val="24"/>
          <w:lang w:val="en-US" w:eastAsia="en-US"/>
        </w:rPr>
        <w:t>dolari</w:t>
      </w:r>
      <w:proofErr w:type="spellEnd"/>
      <w:proofErr w:type="gramEnd"/>
      <w:r w:rsidRPr="00526E6C">
        <w:rPr>
          <w:rFonts w:ascii="Times New Roman CYR" w:hAnsi="Times New Roman CYR" w:cs="Times New Roman CYR"/>
          <w:color w:val="000000"/>
          <w:kern w:val="24"/>
          <w:sz w:val="24"/>
          <w:szCs w:val="24"/>
          <w:lang w:val="en-US" w:eastAsia="en-US"/>
        </w:rPr>
        <w:t>) etc.</w:t>
      </w:r>
    </w:p>
    <w:p w:rsidR="009925C8" w:rsidRPr="00E92CE8" w:rsidRDefault="009925C8" w:rsidP="009925C8">
      <w:pPr>
        <w:tabs>
          <w:tab w:val="left" w:pos="4130"/>
        </w:tabs>
        <w:autoSpaceDE w:val="0"/>
        <w:autoSpaceDN w:val="0"/>
        <w:adjustRightInd w:val="0"/>
        <w:jc w:val="both"/>
        <w:rPr>
          <w:color w:val="000000"/>
          <w:sz w:val="24"/>
          <w:szCs w:val="24"/>
          <w:lang w:val="en-US"/>
        </w:rPr>
      </w:pPr>
    </w:p>
    <w:p w:rsidR="009925C8" w:rsidRPr="00E92CE8" w:rsidRDefault="009925C8" w:rsidP="009925C8">
      <w:pPr>
        <w:tabs>
          <w:tab w:val="left" w:pos="4130"/>
        </w:tabs>
        <w:autoSpaceDE w:val="0"/>
        <w:autoSpaceDN w:val="0"/>
        <w:adjustRightInd w:val="0"/>
        <w:jc w:val="both"/>
        <w:rPr>
          <w:b/>
          <w:i/>
          <w:color w:val="000000"/>
          <w:sz w:val="24"/>
          <w:szCs w:val="24"/>
        </w:rPr>
      </w:pPr>
      <w:r w:rsidRPr="00E92CE8">
        <w:rPr>
          <w:b/>
          <w:i/>
          <w:color w:val="000000"/>
          <w:sz w:val="24"/>
          <w:szCs w:val="24"/>
        </w:rPr>
        <w:t>Exporturile pe grupe de mărfuri</w:t>
      </w:r>
    </w:p>
    <w:p w:rsidR="009925C8" w:rsidRPr="00E92CE8" w:rsidRDefault="009925C8" w:rsidP="009925C8">
      <w:pPr>
        <w:tabs>
          <w:tab w:val="left" w:pos="4130"/>
        </w:tabs>
        <w:autoSpaceDE w:val="0"/>
        <w:autoSpaceDN w:val="0"/>
        <w:adjustRightInd w:val="0"/>
        <w:jc w:val="both"/>
        <w:rPr>
          <w:color w:val="000000"/>
          <w:sz w:val="24"/>
          <w:szCs w:val="24"/>
        </w:rPr>
      </w:pPr>
    </w:p>
    <w:p w:rsidR="009925C8" w:rsidRPr="00E92CE8" w:rsidRDefault="009925C8" w:rsidP="009925C8">
      <w:pPr>
        <w:spacing w:before="60"/>
        <w:jc w:val="both"/>
        <w:rPr>
          <w:color w:val="000000" w:themeColor="text1"/>
          <w:sz w:val="24"/>
          <w:szCs w:val="24"/>
        </w:rPr>
      </w:pPr>
      <w:r w:rsidRPr="00E92CE8">
        <w:rPr>
          <w:color w:val="000000" w:themeColor="text1"/>
          <w:sz w:val="24"/>
          <w:szCs w:val="24"/>
        </w:rPr>
        <w:t xml:space="preserve">Analizând exportul pe grupe de mărfuri, se observă majorarea exporturilor de produse agroalimentare (cereale și preparate pe bază de cereale, semințe și fructe oleaginoase, băuturi, grăsimi și uleiuri vegetale fixate, brute, rafinate sau fracționate etc.), datorită recoltei agricole bune din 2018 și a unei cereri sporite preponderent din partea țărilor UE pentru aceste produse. </w:t>
      </w:r>
    </w:p>
    <w:p w:rsidR="009925C8" w:rsidRPr="00E92CE8" w:rsidRDefault="009925C8" w:rsidP="009925C8">
      <w:pPr>
        <w:spacing w:before="60"/>
        <w:jc w:val="both"/>
        <w:rPr>
          <w:color w:val="000000" w:themeColor="text1"/>
          <w:sz w:val="24"/>
          <w:szCs w:val="24"/>
        </w:rPr>
      </w:pPr>
    </w:p>
    <w:p w:rsidR="009925C8" w:rsidRPr="00E92CE8" w:rsidRDefault="009925C8" w:rsidP="009925C8">
      <w:pPr>
        <w:spacing w:before="60"/>
        <w:jc w:val="both"/>
        <w:rPr>
          <w:color w:val="000000" w:themeColor="text1"/>
          <w:sz w:val="24"/>
          <w:szCs w:val="24"/>
        </w:rPr>
      </w:pPr>
      <w:r w:rsidRPr="00E92CE8">
        <w:rPr>
          <w:color w:val="000000" w:themeColor="text1"/>
          <w:sz w:val="24"/>
          <w:szCs w:val="24"/>
        </w:rPr>
        <w:t xml:space="preserve">La fel, o contribuție semnificativă la creșterea exporturilor a fost determinată de extinderea activității investitorilor străini în Zonele Economice Libere, în special în ramura industriei </w:t>
      </w:r>
      <w:proofErr w:type="spellStart"/>
      <w:r w:rsidRPr="00E92CE8">
        <w:rPr>
          <w:color w:val="000000" w:themeColor="text1"/>
          <w:sz w:val="24"/>
          <w:szCs w:val="24"/>
        </w:rPr>
        <w:t>automotive</w:t>
      </w:r>
      <w:proofErr w:type="spellEnd"/>
      <w:r w:rsidRPr="00E92CE8">
        <w:rPr>
          <w:color w:val="000000" w:themeColor="text1"/>
          <w:sz w:val="24"/>
          <w:szCs w:val="24"/>
        </w:rPr>
        <w:t xml:space="preserve">, </w:t>
      </w:r>
      <w:r w:rsidRPr="00E92CE8">
        <w:rPr>
          <w:color w:val="000000" w:themeColor="text1"/>
          <w:sz w:val="24"/>
          <w:szCs w:val="24"/>
        </w:rPr>
        <w:lastRenderedPageBreak/>
        <w:t xml:space="preserve">asigurând majorări de exporturi preponderent din categoria “mașini și aparate electrice și părți ale acestora”. </w:t>
      </w:r>
    </w:p>
    <w:p w:rsidR="009925C8" w:rsidRPr="00E92CE8" w:rsidRDefault="009925C8" w:rsidP="009925C8">
      <w:pPr>
        <w:spacing w:before="60"/>
        <w:jc w:val="both"/>
        <w:rPr>
          <w:color w:val="000000" w:themeColor="text1"/>
          <w:sz w:val="24"/>
          <w:szCs w:val="24"/>
        </w:rPr>
      </w:pPr>
    </w:p>
    <w:p w:rsidR="009925C8" w:rsidRPr="00E92CE8" w:rsidRDefault="009925C8" w:rsidP="009925C8">
      <w:pPr>
        <w:spacing w:before="60"/>
        <w:jc w:val="both"/>
        <w:rPr>
          <w:color w:val="000000" w:themeColor="text1"/>
          <w:sz w:val="24"/>
          <w:szCs w:val="24"/>
        </w:rPr>
      </w:pPr>
      <w:r w:rsidRPr="00E92CE8">
        <w:rPr>
          <w:color w:val="000000" w:themeColor="text1"/>
          <w:sz w:val="24"/>
          <w:szCs w:val="24"/>
        </w:rPr>
        <w:t xml:space="preserve">Datorită evoluțiilor favorabile în alte sectoare industriale, s-au accelerat exporturile la următoarele tipuri de produse, mărfuri manufacturare clasificate mai ales după materia primă: mobilă si </w:t>
      </w:r>
      <w:proofErr w:type="spellStart"/>
      <w:r w:rsidRPr="00E92CE8">
        <w:rPr>
          <w:color w:val="000000" w:themeColor="text1"/>
          <w:sz w:val="24"/>
          <w:szCs w:val="24"/>
        </w:rPr>
        <w:t>părţile</w:t>
      </w:r>
      <w:proofErr w:type="spellEnd"/>
      <w:r w:rsidRPr="00E92CE8">
        <w:rPr>
          <w:color w:val="000000" w:themeColor="text1"/>
          <w:sz w:val="24"/>
          <w:szCs w:val="24"/>
        </w:rPr>
        <w:t xml:space="preserve"> ei, produse chimice și produse derivate nespecifice în altă parte, uleiuri, grăsimi şi ceruri de origine animală sau vegetală, cereale și preparate pe bază de cereale, alte articole manufacturate diverse, etc. Totodată, a avut o influență benefică la creșterea exporturilor și reexportul de produse medicinale și farmaceutice. În același timp, o influență negativă asupra evoluției ratei anuale a exporturilor au avut tipurile de mărfuri de zahăr, preparate pe bază de zahăr; miere, legume și fructe, fire, țesături, articole textile și produse conexe, mașini și aparate industriale cu aplicații generale, uleiuri esențiale, </w:t>
      </w:r>
      <w:proofErr w:type="spellStart"/>
      <w:r w:rsidRPr="00E92CE8">
        <w:rPr>
          <w:color w:val="000000" w:themeColor="text1"/>
          <w:sz w:val="24"/>
          <w:szCs w:val="24"/>
        </w:rPr>
        <w:t>rezinoide</w:t>
      </w:r>
      <w:proofErr w:type="spellEnd"/>
      <w:r w:rsidRPr="00E92CE8">
        <w:rPr>
          <w:color w:val="000000" w:themeColor="text1"/>
          <w:sz w:val="24"/>
          <w:szCs w:val="24"/>
        </w:rPr>
        <w:t xml:space="preserve"> și substanțe parfumate, preparate pentru toaletă, produse pentru înfrumusețare, vehicule rutiere, articole prelucrate din metal, carne și preparate din carne etc.</w:t>
      </w:r>
    </w:p>
    <w:p w:rsidR="009925C8" w:rsidRPr="00E92CE8" w:rsidRDefault="009925C8" w:rsidP="009925C8">
      <w:pPr>
        <w:spacing w:before="60"/>
        <w:jc w:val="both"/>
        <w:rPr>
          <w:color w:val="000000" w:themeColor="text1"/>
          <w:sz w:val="24"/>
          <w:szCs w:val="24"/>
        </w:rPr>
      </w:pPr>
    </w:p>
    <w:p w:rsidR="009925C8" w:rsidRPr="00E92CE8" w:rsidRDefault="009925C8" w:rsidP="009925C8">
      <w:pPr>
        <w:spacing w:before="60"/>
        <w:jc w:val="both"/>
        <w:rPr>
          <w:color w:val="000000" w:themeColor="text1"/>
          <w:sz w:val="24"/>
          <w:szCs w:val="24"/>
        </w:rPr>
      </w:pPr>
      <w:r w:rsidRPr="00E92CE8">
        <w:rPr>
          <w:color w:val="000000" w:themeColor="text1"/>
          <w:sz w:val="24"/>
          <w:szCs w:val="24"/>
        </w:rPr>
        <w:t xml:space="preserve">Exporturile de mărfuri autohtone în 2018 au constituit 1,8 mil. dolari, cu o pondere de 68,4% din total exporturi și s-au majorat cu 12,9 % față de anul 2017. </w:t>
      </w:r>
    </w:p>
    <w:p w:rsidR="009925C8" w:rsidRPr="00E92CE8" w:rsidRDefault="009925C8" w:rsidP="009925C8">
      <w:pPr>
        <w:spacing w:before="60"/>
        <w:jc w:val="both"/>
        <w:rPr>
          <w:color w:val="000000" w:themeColor="text1"/>
          <w:sz w:val="24"/>
          <w:szCs w:val="24"/>
        </w:rPr>
      </w:pPr>
    </w:p>
    <w:p w:rsidR="009925C8" w:rsidRDefault="009925C8" w:rsidP="009925C8">
      <w:pPr>
        <w:spacing w:before="60"/>
        <w:jc w:val="both"/>
        <w:rPr>
          <w:color w:val="000000" w:themeColor="text1"/>
          <w:sz w:val="24"/>
          <w:szCs w:val="24"/>
        </w:rPr>
      </w:pPr>
      <w:r w:rsidRPr="00E92CE8">
        <w:rPr>
          <w:color w:val="000000" w:themeColor="text1"/>
          <w:sz w:val="24"/>
          <w:szCs w:val="24"/>
        </w:rPr>
        <w:t>Reexporturile de mărfuri străine au însumat 0,9 mil. dolari (31,6% din total exporturi), majorându-se cu 9,0% comparativ cu 2017. Datorită politicilor statului de stimulare și atragere a investitorilor străini în zonele economice libere, a crescut producția în aceste zone, care, la rândul ei, a contribuit la majorarea reexportului. Reexporturile de mărfuri străine după prelucrare au deținut 31,6% din total exporturi, iar reexporturile de mărfuri clasice, care nu au suferit transformări esențiale – 8,3%.</w:t>
      </w:r>
    </w:p>
    <w:p w:rsidR="009925C8" w:rsidRPr="00E92CE8" w:rsidRDefault="009925C8" w:rsidP="009925C8">
      <w:pPr>
        <w:spacing w:before="60"/>
        <w:jc w:val="both"/>
        <w:rPr>
          <w:sz w:val="23"/>
          <w:szCs w:val="23"/>
        </w:rPr>
      </w:pPr>
    </w:p>
    <w:p w:rsidR="009925C8" w:rsidRPr="00B36B9B" w:rsidRDefault="009925C8" w:rsidP="009925C8">
      <w:pPr>
        <w:tabs>
          <w:tab w:val="left" w:pos="4130"/>
        </w:tabs>
        <w:jc w:val="center"/>
        <w:rPr>
          <w:b/>
          <w:i/>
          <w:sz w:val="24"/>
          <w:szCs w:val="24"/>
        </w:rPr>
      </w:pPr>
      <w:r w:rsidRPr="00B36B9B">
        <w:rPr>
          <w:b/>
          <w:i/>
          <w:sz w:val="24"/>
          <w:szCs w:val="24"/>
        </w:rPr>
        <w:t>Evoluția exporturilor de mărfuri în anii2017-2018,</w:t>
      </w:r>
    </w:p>
    <w:p w:rsidR="009925C8" w:rsidRPr="00B36B9B" w:rsidRDefault="009925C8" w:rsidP="009925C8">
      <w:pPr>
        <w:tabs>
          <w:tab w:val="left" w:pos="4130"/>
        </w:tabs>
        <w:jc w:val="center"/>
        <w:rPr>
          <w:i/>
          <w:sz w:val="24"/>
          <w:szCs w:val="24"/>
        </w:rPr>
      </w:pPr>
      <w:r w:rsidRPr="00B36B9B">
        <w:rPr>
          <w:i/>
          <w:sz w:val="24"/>
          <w:szCs w:val="24"/>
        </w:rPr>
        <w:t>mil. dolari SUA</w:t>
      </w:r>
    </w:p>
    <w:p w:rsidR="009925C8" w:rsidRPr="00B36B9B" w:rsidRDefault="009925C8" w:rsidP="009925C8">
      <w:pPr>
        <w:tabs>
          <w:tab w:val="left" w:pos="4130"/>
        </w:tabs>
        <w:jc w:val="center"/>
        <w:rPr>
          <w:i/>
          <w:sz w:val="24"/>
          <w:szCs w:val="24"/>
        </w:rPr>
      </w:pPr>
    </w:p>
    <w:p w:rsidR="009925C8" w:rsidRPr="00B36B9B" w:rsidRDefault="009925C8" w:rsidP="009925C8">
      <w:pPr>
        <w:tabs>
          <w:tab w:val="left" w:pos="4130"/>
        </w:tabs>
        <w:rPr>
          <w:i/>
          <w:sz w:val="24"/>
          <w:szCs w:val="24"/>
        </w:rPr>
      </w:pPr>
      <w:r w:rsidRPr="00B36B9B">
        <w:rPr>
          <w:i/>
          <w:noProof/>
          <w:sz w:val="24"/>
          <w:szCs w:val="24"/>
          <w:lang w:val="en-US" w:eastAsia="en-US"/>
        </w:rPr>
        <w:drawing>
          <wp:inline distT="0" distB="0" distL="0" distR="0" wp14:anchorId="5D65AD56" wp14:editId="20B7B6D4">
            <wp:extent cx="6102096" cy="2696401"/>
            <wp:effectExtent l="0" t="0" r="0" b="8890"/>
            <wp:docPr id="42" name="Chart 4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9925C8" w:rsidRPr="00B36B9B" w:rsidRDefault="009925C8" w:rsidP="009925C8">
      <w:pPr>
        <w:tabs>
          <w:tab w:val="left" w:pos="4130"/>
        </w:tabs>
        <w:rPr>
          <w:i/>
          <w:sz w:val="24"/>
          <w:szCs w:val="24"/>
        </w:rPr>
      </w:pPr>
    </w:p>
    <w:p w:rsidR="009925C8" w:rsidRPr="00B36B9B" w:rsidRDefault="009925C8" w:rsidP="009925C8">
      <w:pPr>
        <w:tabs>
          <w:tab w:val="left" w:pos="4130"/>
        </w:tabs>
        <w:rPr>
          <w:b/>
          <w:i/>
          <w:sz w:val="24"/>
          <w:szCs w:val="24"/>
        </w:rPr>
      </w:pPr>
      <w:r w:rsidRPr="00B36B9B">
        <w:rPr>
          <w:i/>
        </w:rPr>
        <w:t xml:space="preserve">     Sursă: Biroul Național de Statistică</w:t>
      </w:r>
    </w:p>
    <w:p w:rsidR="009925C8" w:rsidRPr="00803441" w:rsidRDefault="009925C8" w:rsidP="009925C8">
      <w:pPr>
        <w:tabs>
          <w:tab w:val="left" w:pos="4130"/>
        </w:tabs>
        <w:rPr>
          <w:b/>
          <w:i/>
          <w:sz w:val="24"/>
          <w:szCs w:val="24"/>
        </w:rPr>
      </w:pPr>
    </w:p>
    <w:p w:rsidR="009925C8" w:rsidRPr="00E92CE8" w:rsidRDefault="009925C8" w:rsidP="009925C8">
      <w:pPr>
        <w:tabs>
          <w:tab w:val="left" w:pos="4130"/>
        </w:tabs>
        <w:autoSpaceDE w:val="0"/>
        <w:autoSpaceDN w:val="0"/>
        <w:adjustRightInd w:val="0"/>
        <w:jc w:val="both"/>
        <w:rPr>
          <w:color w:val="000000"/>
          <w:sz w:val="24"/>
          <w:szCs w:val="24"/>
        </w:rPr>
      </w:pPr>
      <w:r w:rsidRPr="00E92CE8">
        <w:rPr>
          <w:color w:val="000000"/>
          <w:sz w:val="24"/>
          <w:szCs w:val="24"/>
        </w:rPr>
        <w:t xml:space="preserve">Exporturile de </w:t>
      </w:r>
      <w:r w:rsidRPr="007D58BF">
        <w:rPr>
          <w:i/>
          <w:color w:val="000000"/>
          <w:sz w:val="24"/>
          <w:szCs w:val="24"/>
        </w:rPr>
        <w:t>articole manufacturate diverse</w:t>
      </w:r>
      <w:r w:rsidRPr="00E92CE8">
        <w:rPr>
          <w:color w:val="000000"/>
          <w:sz w:val="24"/>
          <w:szCs w:val="24"/>
        </w:rPr>
        <w:t xml:space="preserve"> a crescut cu 14%, însumând 612,4 mil. dolari. Cota acestor livrări în volumul total de exporturi a constituit circa 22,6%, fiind cu 0,4 p.p. mai mare față de 2017. În cadrul acestei secțiuni de mărfuri, ponderi însemnate au deținut exporturile de îmbrăcăminte și accesorii – 11,4% din total exporturi. Valoarea acestor exporturi a fost de 309,2 mil. dolari, înregistrând o creștere de 11,2% față de  2017. Este de menționat că livrările de mobilă și părțile ei s-au majorat cu 16,9% și au constituit circa 157,8 mil. dolari și o pondere de 5,8% în total export, alte articole diverse – s-au majorat cu 35,6% și au constituit circa 57,4 mil. dolari și o pondere de 2,1% în total export, exporturile de încălțăminte s-au majorat cu circa 8,2% și au constituit 36 mil. dolari și o pondere de 1,3% în total export. </w:t>
      </w:r>
    </w:p>
    <w:p w:rsidR="009925C8" w:rsidRPr="00E92CE8" w:rsidRDefault="009925C8" w:rsidP="009925C8">
      <w:pPr>
        <w:tabs>
          <w:tab w:val="left" w:pos="4130"/>
        </w:tabs>
        <w:autoSpaceDE w:val="0"/>
        <w:autoSpaceDN w:val="0"/>
        <w:adjustRightInd w:val="0"/>
        <w:jc w:val="both"/>
        <w:rPr>
          <w:color w:val="000000"/>
          <w:sz w:val="24"/>
          <w:szCs w:val="24"/>
        </w:rPr>
      </w:pPr>
    </w:p>
    <w:p w:rsidR="009925C8" w:rsidRPr="00E92CE8" w:rsidRDefault="009925C8" w:rsidP="009925C8">
      <w:pPr>
        <w:tabs>
          <w:tab w:val="left" w:pos="4130"/>
        </w:tabs>
        <w:autoSpaceDE w:val="0"/>
        <w:autoSpaceDN w:val="0"/>
        <w:adjustRightInd w:val="0"/>
        <w:jc w:val="both"/>
        <w:rPr>
          <w:color w:val="000000"/>
          <w:sz w:val="24"/>
          <w:szCs w:val="24"/>
        </w:rPr>
      </w:pPr>
      <w:r w:rsidRPr="00E92CE8">
        <w:rPr>
          <w:color w:val="000000"/>
          <w:sz w:val="24"/>
          <w:szCs w:val="24"/>
        </w:rPr>
        <w:t xml:space="preserve">Ponderea exporturilor de </w:t>
      </w:r>
      <w:r w:rsidRPr="007D58BF">
        <w:rPr>
          <w:i/>
          <w:color w:val="000000"/>
          <w:sz w:val="24"/>
          <w:szCs w:val="24"/>
        </w:rPr>
        <w:t>produse alimentare și animale vii</w:t>
      </w:r>
      <w:r w:rsidRPr="00E92CE8">
        <w:rPr>
          <w:color w:val="000000"/>
          <w:sz w:val="24"/>
          <w:szCs w:val="24"/>
        </w:rPr>
        <w:t xml:space="preserve"> a fost de 22,6% în total export, fiind în creștere cu 2,5 p.p. față de  2017. Valoarea acestor exporturi s-a majorat cu 0,6% față de 2017 și a constituit 613 mil. dolari. În cadrul acestei secțiuni de mărfuri o pondere mai semnif</w:t>
      </w:r>
      <w:r w:rsidR="00B303CC">
        <w:rPr>
          <w:color w:val="000000"/>
          <w:sz w:val="24"/>
          <w:szCs w:val="24"/>
        </w:rPr>
        <w:t>icativă, 9,8</w:t>
      </w:r>
      <w:r w:rsidRPr="00E92CE8">
        <w:rPr>
          <w:color w:val="000000"/>
          <w:sz w:val="24"/>
          <w:szCs w:val="24"/>
        </w:rPr>
        <w:t>% din total export, o dețin exporturile de legume și fructe - în valoare de 264,3 mil. dolari; cereale și preparate pe bază de cereale – 8,8% din total export, în sumă de 240,1 mil. dolari; zahăr, preparate pe bază de zahăr; miere – 1,1% din total export, în valoare de 30,8 mil. dolari, etc.</w:t>
      </w:r>
    </w:p>
    <w:p w:rsidR="009925C8" w:rsidRPr="00E92CE8" w:rsidRDefault="009925C8" w:rsidP="009925C8">
      <w:pPr>
        <w:tabs>
          <w:tab w:val="left" w:pos="4130"/>
        </w:tabs>
        <w:autoSpaceDE w:val="0"/>
        <w:autoSpaceDN w:val="0"/>
        <w:adjustRightInd w:val="0"/>
        <w:jc w:val="both"/>
        <w:rPr>
          <w:color w:val="000000"/>
          <w:sz w:val="24"/>
          <w:szCs w:val="24"/>
        </w:rPr>
      </w:pPr>
    </w:p>
    <w:p w:rsidR="009925C8" w:rsidRPr="00E92CE8" w:rsidRDefault="009925C8" w:rsidP="009925C8">
      <w:pPr>
        <w:tabs>
          <w:tab w:val="left" w:pos="4130"/>
        </w:tabs>
        <w:autoSpaceDE w:val="0"/>
        <w:autoSpaceDN w:val="0"/>
        <w:adjustRightInd w:val="0"/>
        <w:jc w:val="both"/>
        <w:rPr>
          <w:color w:val="000000"/>
          <w:sz w:val="24"/>
          <w:szCs w:val="24"/>
        </w:rPr>
      </w:pPr>
      <w:r w:rsidRPr="00E92CE8">
        <w:rPr>
          <w:color w:val="000000"/>
          <w:sz w:val="24"/>
          <w:szCs w:val="24"/>
        </w:rPr>
        <w:t xml:space="preserve">Valoarea livrărilor de </w:t>
      </w:r>
      <w:r w:rsidRPr="007D58BF">
        <w:rPr>
          <w:i/>
          <w:color w:val="000000"/>
          <w:sz w:val="24"/>
          <w:szCs w:val="24"/>
        </w:rPr>
        <w:t>mașini și echipamente pentru transport</w:t>
      </w:r>
      <w:r w:rsidRPr="00E92CE8">
        <w:rPr>
          <w:color w:val="000000"/>
          <w:sz w:val="24"/>
          <w:szCs w:val="24"/>
        </w:rPr>
        <w:t xml:space="preserve"> în 2018 a constituit 586,4 mil. dolari, înregistrând o creștere cu 35,9% față de 2017. Ponderea acestor mărfuri în total export este destul de semnificativă – 21,7%. În cadrul acestei secțiuni de mărfuri ponderi însemnate au deținut exporturile de mașini și aparate electrice și părți ale acestora (mai mult cu 5,1 p.p. comparativ cu 2017), iar volumul acestor livrări a însumat 521,3 mil. dolari, de 1,5 ori mai mult. </w:t>
      </w:r>
    </w:p>
    <w:p w:rsidR="009925C8" w:rsidRPr="00E92CE8" w:rsidRDefault="009925C8" w:rsidP="009925C8">
      <w:pPr>
        <w:tabs>
          <w:tab w:val="left" w:pos="4130"/>
        </w:tabs>
        <w:autoSpaceDE w:val="0"/>
        <w:autoSpaceDN w:val="0"/>
        <w:adjustRightInd w:val="0"/>
        <w:jc w:val="both"/>
        <w:rPr>
          <w:color w:val="000000"/>
          <w:sz w:val="24"/>
          <w:szCs w:val="24"/>
        </w:rPr>
      </w:pPr>
    </w:p>
    <w:p w:rsidR="009925C8" w:rsidRDefault="009925C8" w:rsidP="009925C8">
      <w:pPr>
        <w:tabs>
          <w:tab w:val="left" w:pos="4130"/>
        </w:tabs>
        <w:autoSpaceDE w:val="0"/>
        <w:autoSpaceDN w:val="0"/>
        <w:adjustRightInd w:val="0"/>
        <w:jc w:val="both"/>
        <w:rPr>
          <w:color w:val="000000"/>
          <w:sz w:val="24"/>
          <w:szCs w:val="24"/>
        </w:rPr>
      </w:pPr>
      <w:r w:rsidRPr="00E92CE8">
        <w:rPr>
          <w:color w:val="000000"/>
          <w:sz w:val="24"/>
          <w:szCs w:val="24"/>
        </w:rPr>
        <w:t xml:space="preserve">Volumul exportului de </w:t>
      </w:r>
      <w:r w:rsidRPr="007D58BF">
        <w:rPr>
          <w:i/>
          <w:color w:val="000000"/>
          <w:sz w:val="24"/>
          <w:szCs w:val="24"/>
        </w:rPr>
        <w:t>materiale brute necomestibile</w:t>
      </w:r>
      <w:r w:rsidRPr="00E92CE8">
        <w:rPr>
          <w:color w:val="000000"/>
          <w:sz w:val="24"/>
          <w:szCs w:val="24"/>
        </w:rPr>
        <w:t xml:space="preserve">, exclusiv combustibili s-a majorat cu 1,2% în 2018 față de volumul exportat în 2017, însumând </w:t>
      </w:r>
      <w:r w:rsidR="00B303CC">
        <w:rPr>
          <w:color w:val="000000"/>
          <w:sz w:val="24"/>
          <w:szCs w:val="24"/>
        </w:rPr>
        <w:t>280</w:t>
      </w:r>
      <w:r w:rsidRPr="00E92CE8">
        <w:rPr>
          <w:color w:val="000000"/>
          <w:sz w:val="24"/>
          <w:szCs w:val="24"/>
        </w:rPr>
        <w:t xml:space="preserve"> mil. dolari, cu o pondere de 10,3% în total exporturi. În cadrul acestei secțiuni de mărfuri pondere importantă au avut-o livrările semințelor și fructelor oleaginoase – 8,8% în volumul total al exportului (240 mil. dolari), fiind cu </w:t>
      </w:r>
      <w:r w:rsidR="00B303CC">
        <w:rPr>
          <w:color w:val="000000"/>
          <w:sz w:val="24"/>
          <w:szCs w:val="24"/>
        </w:rPr>
        <w:t>0,3</w:t>
      </w:r>
      <w:r w:rsidRPr="00E92CE8">
        <w:rPr>
          <w:color w:val="000000"/>
          <w:sz w:val="24"/>
          <w:szCs w:val="24"/>
        </w:rPr>
        <w:t xml:space="preserve"> p.p. mai puțin comparativ cu 2017.</w:t>
      </w:r>
    </w:p>
    <w:p w:rsidR="009925C8" w:rsidRPr="00E92CE8" w:rsidRDefault="009925C8" w:rsidP="009925C8">
      <w:pPr>
        <w:tabs>
          <w:tab w:val="left" w:pos="4130"/>
        </w:tabs>
        <w:autoSpaceDE w:val="0"/>
        <w:autoSpaceDN w:val="0"/>
        <w:adjustRightInd w:val="0"/>
        <w:jc w:val="both"/>
        <w:rPr>
          <w:color w:val="000000"/>
          <w:sz w:val="24"/>
          <w:szCs w:val="24"/>
        </w:rPr>
      </w:pPr>
    </w:p>
    <w:p w:rsidR="009925C8" w:rsidRPr="00E92CE8" w:rsidRDefault="009925C8" w:rsidP="009925C8">
      <w:pPr>
        <w:tabs>
          <w:tab w:val="left" w:pos="4130"/>
        </w:tabs>
        <w:autoSpaceDE w:val="0"/>
        <w:autoSpaceDN w:val="0"/>
        <w:adjustRightInd w:val="0"/>
        <w:jc w:val="both"/>
        <w:rPr>
          <w:color w:val="000000"/>
          <w:sz w:val="24"/>
          <w:szCs w:val="24"/>
        </w:rPr>
      </w:pPr>
      <w:r w:rsidRPr="00E92CE8">
        <w:rPr>
          <w:color w:val="000000"/>
          <w:sz w:val="24"/>
          <w:szCs w:val="24"/>
        </w:rPr>
        <w:t xml:space="preserve">Exportul de </w:t>
      </w:r>
      <w:r w:rsidRPr="007D58BF">
        <w:rPr>
          <w:i/>
          <w:color w:val="000000"/>
          <w:sz w:val="24"/>
          <w:szCs w:val="24"/>
        </w:rPr>
        <w:t>băuturi și tutun</w:t>
      </w:r>
      <w:r w:rsidRPr="00E92CE8">
        <w:rPr>
          <w:color w:val="000000"/>
          <w:sz w:val="24"/>
          <w:szCs w:val="24"/>
        </w:rPr>
        <w:t xml:space="preserve"> în 2018 a constituit 218,9 mil. dolari, cu 8.8% mai mult față de 2017 și o pondere de circa 8% în total export. În cadrul acestei secțiuni de mărfuri preponderente rămân a fi exporturile de băuturi, volumul cărora a constituit 196,0 mil. dolari, cu 7,4% mai mult față de 2017. Totodată, exportul de tutun brut și prelucrat – a constituit circa 22,8 mil. dolari, cu 22,5% mai mult, față de 2017. </w:t>
      </w:r>
    </w:p>
    <w:p w:rsidR="009925C8" w:rsidRPr="00E92CE8" w:rsidRDefault="009925C8" w:rsidP="009925C8">
      <w:pPr>
        <w:tabs>
          <w:tab w:val="left" w:pos="4130"/>
        </w:tabs>
        <w:autoSpaceDE w:val="0"/>
        <w:autoSpaceDN w:val="0"/>
        <w:adjustRightInd w:val="0"/>
        <w:jc w:val="both"/>
        <w:rPr>
          <w:color w:val="000000"/>
          <w:sz w:val="24"/>
          <w:szCs w:val="24"/>
        </w:rPr>
      </w:pPr>
    </w:p>
    <w:p w:rsidR="009925C8" w:rsidRPr="00E92CE8" w:rsidRDefault="009925C8" w:rsidP="009925C8">
      <w:pPr>
        <w:tabs>
          <w:tab w:val="left" w:pos="4130"/>
        </w:tabs>
        <w:autoSpaceDE w:val="0"/>
        <w:autoSpaceDN w:val="0"/>
        <w:adjustRightInd w:val="0"/>
        <w:jc w:val="both"/>
        <w:rPr>
          <w:color w:val="000000"/>
          <w:sz w:val="24"/>
          <w:szCs w:val="24"/>
        </w:rPr>
      </w:pPr>
      <w:r w:rsidRPr="00E92CE8">
        <w:rPr>
          <w:color w:val="000000"/>
          <w:sz w:val="24"/>
          <w:szCs w:val="24"/>
        </w:rPr>
        <w:t xml:space="preserve">Volumul exportului de </w:t>
      </w:r>
      <w:r w:rsidRPr="007D58BF">
        <w:rPr>
          <w:i/>
          <w:color w:val="000000"/>
          <w:sz w:val="24"/>
          <w:szCs w:val="24"/>
        </w:rPr>
        <w:t xml:space="preserve">mărfuri manufacturate, clasificate mai ales după materia primă </w:t>
      </w:r>
      <w:r w:rsidRPr="00E92CE8">
        <w:rPr>
          <w:color w:val="000000"/>
          <w:sz w:val="24"/>
          <w:szCs w:val="24"/>
        </w:rPr>
        <w:t>s-a majorat cu 6,7% și a constituit 179,8 mil. dolari, sau 6,64% din total exporturi. În cadrul acestei secțiuni de mărfuri sunt de menționate exporturile de fire, țesături și articole textile cu o pondere de 2,6% din total export, mai puțin cu 0,7 p.p., volumul livrărilor fiind de 71 mil. dolari, cu 11,6% mai puțin comparativ cu 2017.</w:t>
      </w:r>
    </w:p>
    <w:p w:rsidR="009925C8" w:rsidRPr="00E92CE8" w:rsidRDefault="009925C8" w:rsidP="009925C8">
      <w:pPr>
        <w:tabs>
          <w:tab w:val="left" w:pos="4130"/>
        </w:tabs>
        <w:autoSpaceDE w:val="0"/>
        <w:autoSpaceDN w:val="0"/>
        <w:adjustRightInd w:val="0"/>
        <w:jc w:val="both"/>
        <w:rPr>
          <w:color w:val="000000"/>
          <w:sz w:val="24"/>
          <w:szCs w:val="24"/>
        </w:rPr>
      </w:pPr>
      <w:r w:rsidRPr="00E92CE8">
        <w:rPr>
          <w:color w:val="000000"/>
          <w:sz w:val="24"/>
          <w:szCs w:val="24"/>
        </w:rPr>
        <w:t xml:space="preserve"> </w:t>
      </w:r>
    </w:p>
    <w:p w:rsidR="009925C8" w:rsidRDefault="009925C8" w:rsidP="009925C8">
      <w:pPr>
        <w:tabs>
          <w:tab w:val="left" w:pos="4130"/>
        </w:tabs>
        <w:autoSpaceDE w:val="0"/>
        <w:autoSpaceDN w:val="0"/>
        <w:adjustRightInd w:val="0"/>
        <w:jc w:val="both"/>
        <w:rPr>
          <w:color w:val="000000"/>
          <w:sz w:val="24"/>
          <w:szCs w:val="24"/>
        </w:rPr>
      </w:pPr>
      <w:r w:rsidRPr="00E92CE8">
        <w:rPr>
          <w:color w:val="000000"/>
          <w:sz w:val="24"/>
          <w:szCs w:val="24"/>
        </w:rPr>
        <w:t xml:space="preserve">Volumul exportului de </w:t>
      </w:r>
      <w:r w:rsidRPr="007D58BF">
        <w:rPr>
          <w:i/>
          <w:color w:val="000000"/>
          <w:sz w:val="24"/>
          <w:szCs w:val="24"/>
        </w:rPr>
        <w:t>produse chimice și produse derivate nespecificate în altă parte</w:t>
      </w:r>
      <w:r w:rsidRPr="00E92CE8">
        <w:rPr>
          <w:color w:val="000000"/>
          <w:sz w:val="24"/>
          <w:szCs w:val="24"/>
        </w:rPr>
        <w:t xml:space="preserve"> a însumat 129,8 mil. dolari</w:t>
      </w:r>
      <w:r w:rsidR="007D58BF" w:rsidRPr="007D58BF">
        <w:rPr>
          <w:color w:val="000000"/>
          <w:sz w:val="24"/>
          <w:szCs w:val="24"/>
        </w:rPr>
        <w:t xml:space="preserve"> </w:t>
      </w:r>
      <w:r w:rsidR="007D58BF" w:rsidRPr="00E92CE8">
        <w:rPr>
          <w:color w:val="000000"/>
          <w:sz w:val="24"/>
          <w:szCs w:val="24"/>
        </w:rPr>
        <w:t>în 2018</w:t>
      </w:r>
      <w:r w:rsidRPr="00E92CE8">
        <w:rPr>
          <w:color w:val="000000"/>
          <w:sz w:val="24"/>
          <w:szCs w:val="24"/>
        </w:rPr>
        <w:t xml:space="preserve">, fiind în creștere cu 1,6% comparativ cu 2017. Cota-parte a acestor mărfuri în volumul total al exportului a fost de 4,8%. O pondere importantă o dețin produsele medicinale și farmaceutice – 2,6% din total export, însumând 71,8 mil. dolari, fiind cu 14,7% mai mare față de volumul exportat în perioada similară a anului trecut, iar produsele chimice organice – 1% din total export, însumând 26,3 mil. dolari (+13,2%), pe când uleiurile esențiale, </w:t>
      </w:r>
      <w:proofErr w:type="spellStart"/>
      <w:r w:rsidRPr="00E92CE8">
        <w:rPr>
          <w:color w:val="000000"/>
          <w:sz w:val="24"/>
          <w:szCs w:val="24"/>
        </w:rPr>
        <w:t>rezinoide</w:t>
      </w:r>
      <w:proofErr w:type="spellEnd"/>
      <w:r w:rsidRPr="00E92CE8">
        <w:rPr>
          <w:color w:val="000000"/>
          <w:sz w:val="24"/>
          <w:szCs w:val="24"/>
        </w:rPr>
        <w:t xml:space="preserve"> și substanțele parfumate – au constituit 0,8% din total export, însumând circa 20,9 mil. dolari, fiind cu 25% mai puțin față de perioada similară a anului trecut.</w:t>
      </w:r>
    </w:p>
    <w:p w:rsidR="009925C8" w:rsidRPr="00E92CE8" w:rsidRDefault="009925C8" w:rsidP="009925C8">
      <w:pPr>
        <w:tabs>
          <w:tab w:val="left" w:pos="4130"/>
        </w:tabs>
        <w:autoSpaceDE w:val="0"/>
        <w:autoSpaceDN w:val="0"/>
        <w:adjustRightInd w:val="0"/>
        <w:jc w:val="both"/>
        <w:rPr>
          <w:color w:val="000000"/>
          <w:sz w:val="24"/>
          <w:szCs w:val="24"/>
        </w:rPr>
      </w:pPr>
    </w:p>
    <w:p w:rsidR="009925C8" w:rsidRPr="00E92CE8" w:rsidRDefault="009925C8" w:rsidP="009925C8">
      <w:pPr>
        <w:tabs>
          <w:tab w:val="left" w:pos="4130"/>
        </w:tabs>
        <w:jc w:val="both"/>
        <w:rPr>
          <w:b/>
          <w:i/>
          <w:sz w:val="24"/>
          <w:szCs w:val="24"/>
          <w:lang w:val="x-none"/>
        </w:rPr>
      </w:pPr>
      <w:proofErr w:type="spellStart"/>
      <w:r w:rsidRPr="00E92CE8">
        <w:rPr>
          <w:b/>
          <w:i/>
          <w:sz w:val="24"/>
          <w:szCs w:val="24"/>
          <w:lang w:val="x-none"/>
        </w:rPr>
        <w:t>Importurile</w:t>
      </w:r>
      <w:proofErr w:type="spellEnd"/>
      <w:r w:rsidRPr="00E92CE8">
        <w:rPr>
          <w:b/>
          <w:i/>
          <w:sz w:val="24"/>
          <w:szCs w:val="24"/>
          <w:lang w:val="x-none"/>
        </w:rPr>
        <w:t xml:space="preserve"> </w:t>
      </w:r>
      <w:proofErr w:type="spellStart"/>
      <w:r w:rsidRPr="00E92CE8">
        <w:rPr>
          <w:b/>
          <w:i/>
          <w:sz w:val="24"/>
          <w:szCs w:val="24"/>
          <w:lang w:val="x-none"/>
        </w:rPr>
        <w:t>după</w:t>
      </w:r>
      <w:proofErr w:type="spellEnd"/>
      <w:r w:rsidRPr="00E92CE8">
        <w:rPr>
          <w:b/>
          <w:i/>
          <w:sz w:val="24"/>
          <w:szCs w:val="24"/>
          <w:lang w:val="x-none"/>
        </w:rPr>
        <w:t xml:space="preserve"> </w:t>
      </w:r>
      <w:proofErr w:type="spellStart"/>
      <w:r w:rsidRPr="00E92CE8">
        <w:rPr>
          <w:b/>
          <w:i/>
          <w:sz w:val="24"/>
          <w:szCs w:val="24"/>
          <w:lang w:val="x-none"/>
        </w:rPr>
        <w:t>țările</w:t>
      </w:r>
      <w:proofErr w:type="spellEnd"/>
      <w:r w:rsidRPr="00E92CE8">
        <w:rPr>
          <w:b/>
          <w:i/>
          <w:sz w:val="24"/>
          <w:szCs w:val="24"/>
          <w:lang w:val="x-none"/>
        </w:rPr>
        <w:t xml:space="preserve"> de </w:t>
      </w:r>
      <w:proofErr w:type="spellStart"/>
      <w:r w:rsidRPr="00E92CE8">
        <w:rPr>
          <w:b/>
          <w:i/>
          <w:sz w:val="24"/>
          <w:szCs w:val="24"/>
          <w:lang w:val="x-none"/>
        </w:rPr>
        <w:t>origine</w:t>
      </w:r>
      <w:proofErr w:type="spellEnd"/>
    </w:p>
    <w:p w:rsidR="009925C8" w:rsidRPr="00E92CE8" w:rsidRDefault="009925C8" w:rsidP="009925C8">
      <w:pPr>
        <w:tabs>
          <w:tab w:val="left" w:pos="4130"/>
        </w:tabs>
        <w:jc w:val="both"/>
        <w:rPr>
          <w:sz w:val="24"/>
          <w:szCs w:val="24"/>
          <w:lang w:val="x-none"/>
        </w:rPr>
      </w:pPr>
    </w:p>
    <w:p w:rsidR="009925C8" w:rsidRPr="00E92CE8" w:rsidRDefault="009925C8" w:rsidP="009925C8">
      <w:pPr>
        <w:jc w:val="both"/>
        <w:rPr>
          <w:sz w:val="24"/>
          <w:szCs w:val="24"/>
        </w:rPr>
      </w:pPr>
      <w:r w:rsidRPr="00E92CE8">
        <w:rPr>
          <w:sz w:val="24"/>
          <w:szCs w:val="24"/>
        </w:rPr>
        <w:t>Valoarea importurilor de bunuri efectuat de Republica Moldova în 2018 a constit</w:t>
      </w:r>
      <w:r w:rsidR="00BA6630">
        <w:rPr>
          <w:sz w:val="24"/>
          <w:szCs w:val="24"/>
        </w:rPr>
        <w:t>uit 5764,2 mil. dolari, cu 19,3</w:t>
      </w:r>
      <w:r w:rsidRPr="00E92CE8">
        <w:rPr>
          <w:sz w:val="24"/>
          <w:szCs w:val="24"/>
        </w:rPr>
        <w:t>% mai mult față de 2017. Valoarea importurilor s-a majorat în țările Uniunii Europene cu 461,4 mil. dolari (+19,3%), în țările CSI – cu 243,1 mil. dolari (+20,1%), iar în alte țări – cu 228,3  mil. dolari (+18,3%).</w:t>
      </w:r>
    </w:p>
    <w:p w:rsidR="009925C8" w:rsidRPr="00E92CE8" w:rsidRDefault="009925C8" w:rsidP="009925C8">
      <w:pPr>
        <w:jc w:val="both"/>
        <w:rPr>
          <w:sz w:val="24"/>
          <w:szCs w:val="24"/>
        </w:rPr>
      </w:pPr>
    </w:p>
    <w:p w:rsidR="009925C8" w:rsidRPr="00526E6C" w:rsidRDefault="009925C8" w:rsidP="009925C8">
      <w:pPr>
        <w:jc w:val="both"/>
        <w:rPr>
          <w:rFonts w:eastAsia="Batang"/>
          <w:color w:val="000000" w:themeColor="text1"/>
          <w:sz w:val="24"/>
          <w:szCs w:val="24"/>
          <w:lang w:eastAsia="en-US"/>
        </w:rPr>
      </w:pPr>
      <w:r w:rsidRPr="00E92CE8">
        <w:rPr>
          <w:sz w:val="24"/>
          <w:szCs w:val="24"/>
        </w:rPr>
        <w:t xml:space="preserve">Creșterea importurilor în 2018 a avut loc pe toate categoriile de țări. Menționăm că importurile din țările UE și CSI au contribuit într-o proporție mai mare la dinamica respectivă.  </w:t>
      </w:r>
    </w:p>
    <w:p w:rsidR="009925C8" w:rsidRDefault="009925C8" w:rsidP="009925C8">
      <w:pPr>
        <w:jc w:val="both"/>
        <w:rPr>
          <w:rFonts w:eastAsia="Batang"/>
          <w:color w:val="000000" w:themeColor="text1"/>
          <w:sz w:val="24"/>
          <w:szCs w:val="24"/>
          <w:lang w:eastAsia="en-US"/>
        </w:rPr>
      </w:pPr>
    </w:p>
    <w:p w:rsidR="0009669B" w:rsidRDefault="0009669B" w:rsidP="009925C8">
      <w:pPr>
        <w:jc w:val="both"/>
        <w:rPr>
          <w:rFonts w:eastAsia="Batang"/>
          <w:color w:val="000000" w:themeColor="text1"/>
          <w:sz w:val="24"/>
          <w:szCs w:val="24"/>
          <w:lang w:eastAsia="en-US"/>
        </w:rPr>
      </w:pPr>
    </w:p>
    <w:p w:rsidR="0009669B" w:rsidRDefault="0009669B" w:rsidP="009925C8">
      <w:pPr>
        <w:jc w:val="both"/>
        <w:rPr>
          <w:rFonts w:eastAsia="Batang"/>
          <w:color w:val="000000" w:themeColor="text1"/>
          <w:sz w:val="24"/>
          <w:szCs w:val="24"/>
          <w:lang w:eastAsia="en-US"/>
        </w:rPr>
      </w:pPr>
    </w:p>
    <w:p w:rsidR="00C2068C" w:rsidRDefault="00C2068C" w:rsidP="009925C8">
      <w:pPr>
        <w:jc w:val="center"/>
        <w:rPr>
          <w:b/>
          <w:i/>
          <w:sz w:val="24"/>
          <w:szCs w:val="24"/>
        </w:rPr>
      </w:pPr>
    </w:p>
    <w:p w:rsidR="00C2068C" w:rsidRDefault="00C2068C" w:rsidP="009925C8">
      <w:pPr>
        <w:jc w:val="center"/>
        <w:rPr>
          <w:b/>
          <w:i/>
          <w:sz w:val="24"/>
          <w:szCs w:val="24"/>
        </w:rPr>
      </w:pPr>
    </w:p>
    <w:p w:rsidR="009925C8" w:rsidRPr="00803441" w:rsidRDefault="009925C8" w:rsidP="009925C8">
      <w:pPr>
        <w:jc w:val="center"/>
        <w:rPr>
          <w:b/>
          <w:i/>
          <w:sz w:val="24"/>
          <w:szCs w:val="24"/>
        </w:rPr>
      </w:pPr>
      <w:r w:rsidRPr="00803441">
        <w:rPr>
          <w:b/>
          <w:i/>
          <w:sz w:val="24"/>
          <w:szCs w:val="24"/>
        </w:rPr>
        <w:lastRenderedPageBreak/>
        <w:t xml:space="preserve">Evoluția ratei anuale a importurilor (%) și contribuția pe categorii de țări (p.p.), </w:t>
      </w:r>
    </w:p>
    <w:p w:rsidR="009925C8" w:rsidRPr="00803441" w:rsidRDefault="009925C8" w:rsidP="009925C8">
      <w:pPr>
        <w:jc w:val="center"/>
        <w:rPr>
          <w:i/>
          <w:sz w:val="24"/>
          <w:szCs w:val="24"/>
        </w:rPr>
      </w:pPr>
      <w:r w:rsidRPr="00803441">
        <w:rPr>
          <w:b/>
          <w:i/>
          <w:sz w:val="24"/>
          <w:szCs w:val="24"/>
        </w:rPr>
        <w:t xml:space="preserve">în </w:t>
      </w:r>
      <w:r w:rsidRPr="00803441">
        <w:rPr>
          <w:i/>
          <w:sz w:val="24"/>
          <w:szCs w:val="24"/>
        </w:rPr>
        <w:t>anii 2011-2018</w:t>
      </w:r>
    </w:p>
    <w:p w:rsidR="009925C8" w:rsidRPr="00803441" w:rsidRDefault="009925C8" w:rsidP="009925C8">
      <w:pPr>
        <w:jc w:val="center"/>
        <w:rPr>
          <w:b/>
          <w:i/>
          <w:sz w:val="24"/>
          <w:szCs w:val="24"/>
        </w:rPr>
      </w:pPr>
    </w:p>
    <w:tbl>
      <w:tblPr>
        <w:tblStyle w:val="TableGrid5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2"/>
      </w:tblGrid>
      <w:tr w:rsidR="009925C8" w:rsidRPr="00803441" w:rsidTr="00FE59BC">
        <w:tc>
          <w:tcPr>
            <w:tcW w:w="4926" w:type="dxa"/>
          </w:tcPr>
          <w:p w:rsidR="009925C8" w:rsidRPr="00803441" w:rsidRDefault="009925C8" w:rsidP="00FE59BC">
            <w:pPr>
              <w:rPr>
                <w:rFonts w:eastAsia="Batang"/>
                <w:sz w:val="24"/>
                <w:szCs w:val="24"/>
                <w:lang w:val="en-US" w:eastAsia="en-US"/>
              </w:rPr>
            </w:pPr>
            <w:r w:rsidRPr="00803441">
              <w:rPr>
                <w:b/>
                <w:i/>
                <w:noProof/>
                <w:sz w:val="24"/>
                <w:szCs w:val="24"/>
                <w:lang w:val="en-US" w:eastAsia="en-US"/>
              </w:rPr>
              <w:drawing>
                <wp:inline distT="0" distB="0" distL="0" distR="0" wp14:anchorId="42ED9CC9" wp14:editId="30A4A695">
                  <wp:extent cx="2853690" cy="2506980"/>
                  <wp:effectExtent l="0" t="0" r="3810" b="0"/>
                  <wp:docPr id="50" name="Диаграм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c>
          <w:tcPr>
            <w:tcW w:w="4927" w:type="dxa"/>
          </w:tcPr>
          <w:p w:rsidR="009925C8" w:rsidRPr="00803441" w:rsidRDefault="009925C8" w:rsidP="00FE59BC">
            <w:pPr>
              <w:rPr>
                <w:rFonts w:eastAsia="Batang"/>
                <w:sz w:val="24"/>
                <w:szCs w:val="24"/>
                <w:lang w:val="en-US" w:eastAsia="en-US"/>
              </w:rPr>
            </w:pPr>
            <w:r w:rsidRPr="00803441">
              <w:rPr>
                <w:b/>
                <w:i/>
                <w:noProof/>
                <w:sz w:val="24"/>
                <w:szCs w:val="24"/>
                <w:lang w:val="en-US" w:eastAsia="en-US"/>
              </w:rPr>
              <w:drawing>
                <wp:inline distT="0" distB="0" distL="0" distR="0" wp14:anchorId="37977A9F" wp14:editId="4947ED18">
                  <wp:extent cx="2832735" cy="2506980"/>
                  <wp:effectExtent l="0" t="0" r="5715" b="762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r>
    </w:tbl>
    <w:p w:rsidR="009925C8" w:rsidRPr="00803441" w:rsidRDefault="009925C8" w:rsidP="009925C8">
      <w:pPr>
        <w:tabs>
          <w:tab w:val="left" w:pos="4130"/>
        </w:tabs>
        <w:jc w:val="center"/>
        <w:rPr>
          <w:i/>
        </w:rPr>
      </w:pPr>
    </w:p>
    <w:p w:rsidR="009925C8" w:rsidRPr="00803441" w:rsidRDefault="009925C8" w:rsidP="009925C8">
      <w:pPr>
        <w:tabs>
          <w:tab w:val="left" w:pos="4130"/>
        </w:tabs>
        <w:rPr>
          <w:i/>
        </w:rPr>
      </w:pPr>
      <w:r w:rsidRPr="00803441">
        <w:rPr>
          <w:i/>
        </w:rPr>
        <w:t>Sursă: Biroul Național de Statistică</w:t>
      </w:r>
    </w:p>
    <w:p w:rsidR="00C2068C" w:rsidRDefault="00C2068C" w:rsidP="009925C8">
      <w:pPr>
        <w:tabs>
          <w:tab w:val="left" w:pos="4130"/>
        </w:tabs>
        <w:autoSpaceDE w:val="0"/>
        <w:autoSpaceDN w:val="0"/>
        <w:adjustRightInd w:val="0"/>
        <w:jc w:val="both"/>
        <w:rPr>
          <w:rFonts w:ascii="Times New Roman CYR" w:hAnsi="Times New Roman CYR" w:cs="Times New Roman CYR"/>
          <w:b/>
          <w:bCs/>
          <w:color w:val="000000"/>
          <w:kern w:val="24"/>
          <w:sz w:val="24"/>
          <w:szCs w:val="24"/>
          <w:lang w:eastAsia="en-US"/>
        </w:rPr>
      </w:pPr>
    </w:p>
    <w:p w:rsidR="009925C8" w:rsidRDefault="009925C8" w:rsidP="009925C8">
      <w:pPr>
        <w:tabs>
          <w:tab w:val="left" w:pos="4130"/>
        </w:tabs>
        <w:autoSpaceDE w:val="0"/>
        <w:autoSpaceDN w:val="0"/>
        <w:adjustRightInd w:val="0"/>
        <w:jc w:val="both"/>
        <w:rPr>
          <w:color w:val="000000"/>
          <w:kern w:val="24"/>
          <w:sz w:val="24"/>
          <w:szCs w:val="24"/>
          <w:u w:val="single"/>
          <w:lang w:eastAsia="en-US"/>
        </w:rPr>
      </w:pPr>
      <w:bookmarkStart w:id="0" w:name="_GoBack"/>
      <w:bookmarkEnd w:id="0"/>
      <w:r>
        <w:rPr>
          <w:rFonts w:ascii="Times New Roman CYR" w:hAnsi="Times New Roman CYR" w:cs="Times New Roman CYR"/>
          <w:b/>
          <w:bCs/>
          <w:color w:val="000000"/>
          <w:kern w:val="24"/>
          <w:sz w:val="24"/>
          <w:szCs w:val="24"/>
          <w:lang w:eastAsia="en-US"/>
        </w:rPr>
        <w:t>Importurile</w:t>
      </w:r>
      <w:r>
        <w:rPr>
          <w:rFonts w:ascii="Times New Roman CYR" w:hAnsi="Times New Roman CYR" w:cs="Times New Roman CYR"/>
          <w:color w:val="000000"/>
          <w:kern w:val="24"/>
          <w:sz w:val="24"/>
          <w:szCs w:val="24"/>
          <w:lang w:eastAsia="en-US"/>
        </w:rPr>
        <w:t xml:space="preserve"> din</w:t>
      </w:r>
      <w:r>
        <w:rPr>
          <w:i/>
          <w:iCs/>
          <w:color w:val="000000"/>
          <w:kern w:val="24"/>
          <w:sz w:val="24"/>
          <w:szCs w:val="24"/>
          <w:lang w:eastAsia="en-US"/>
        </w:rPr>
        <w:t xml:space="preserve"> țările Uniunii Europene</w:t>
      </w:r>
      <w:r w:rsidRPr="00526E6C">
        <w:rPr>
          <w:color w:val="000000"/>
          <w:kern w:val="24"/>
          <w:sz w:val="24"/>
          <w:szCs w:val="24"/>
          <w:lang w:eastAsia="en-US"/>
        </w:rPr>
        <w:t xml:space="preserve"> în 2018 au însumat </w:t>
      </w:r>
      <w:r>
        <w:rPr>
          <w:color w:val="000000"/>
          <w:kern w:val="24"/>
          <w:sz w:val="24"/>
          <w:szCs w:val="24"/>
          <w:lang w:eastAsia="en-US"/>
        </w:rPr>
        <w:t xml:space="preserve">2850,6 </w:t>
      </w:r>
      <w:r w:rsidRPr="00526E6C">
        <w:rPr>
          <w:rFonts w:ascii="Times New Roman CYR" w:hAnsi="Times New Roman CYR" w:cs="Times New Roman CYR"/>
          <w:color w:val="000000"/>
          <w:kern w:val="24"/>
          <w:sz w:val="24"/>
          <w:szCs w:val="24"/>
          <w:lang w:eastAsia="en-US"/>
        </w:rPr>
        <w:t xml:space="preserve">mil. dolari, cu </w:t>
      </w:r>
      <w:r>
        <w:rPr>
          <w:color w:val="000000"/>
          <w:kern w:val="24"/>
          <w:sz w:val="24"/>
          <w:szCs w:val="24"/>
          <w:lang w:eastAsia="en-US"/>
        </w:rPr>
        <w:t>19,3</w:t>
      </w:r>
      <w:r w:rsidRPr="00526E6C">
        <w:rPr>
          <w:color w:val="000000"/>
          <w:kern w:val="24"/>
          <w:sz w:val="24"/>
          <w:szCs w:val="24"/>
          <w:lang w:eastAsia="en-US"/>
        </w:rPr>
        <w:t xml:space="preserve">% mai mult decât în 2018, deținând o pondere de </w:t>
      </w:r>
      <w:r w:rsidRPr="00526E6C">
        <w:rPr>
          <w:rFonts w:ascii="Times New Roman CYR" w:hAnsi="Times New Roman CYR" w:cs="Times New Roman CYR"/>
          <w:color w:val="000000"/>
          <w:kern w:val="24"/>
          <w:sz w:val="24"/>
          <w:szCs w:val="24"/>
          <w:lang w:eastAsia="en-US"/>
        </w:rPr>
        <w:t>49,</w:t>
      </w:r>
      <w:r>
        <w:rPr>
          <w:color w:val="000000"/>
          <w:kern w:val="24"/>
          <w:sz w:val="24"/>
          <w:szCs w:val="24"/>
          <w:lang w:eastAsia="en-US"/>
        </w:rPr>
        <w:t>5</w:t>
      </w:r>
      <w:r w:rsidRPr="00526E6C">
        <w:rPr>
          <w:color w:val="000000"/>
          <w:kern w:val="24"/>
          <w:sz w:val="24"/>
          <w:szCs w:val="24"/>
          <w:lang w:eastAsia="en-US"/>
        </w:rPr>
        <w:t xml:space="preserve">% în total importuri (fiind </w:t>
      </w:r>
      <w:r>
        <w:rPr>
          <w:color w:val="000000"/>
          <w:kern w:val="24"/>
          <w:sz w:val="24"/>
          <w:szCs w:val="24"/>
          <w:lang w:eastAsia="en-US"/>
        </w:rPr>
        <w:t>aceeași în comparație cu 2017</w:t>
      </w:r>
      <w:r w:rsidRPr="00526E6C">
        <w:rPr>
          <w:color w:val="000000"/>
          <w:kern w:val="24"/>
          <w:sz w:val="24"/>
          <w:szCs w:val="24"/>
          <w:lang w:eastAsia="en-US"/>
        </w:rPr>
        <w:t xml:space="preserve">). Importurile au provenit, în mare parte, din România – în valoare de </w:t>
      </w:r>
      <w:r>
        <w:rPr>
          <w:color w:val="000000"/>
          <w:kern w:val="24"/>
          <w:sz w:val="24"/>
          <w:szCs w:val="24"/>
          <w:lang w:eastAsia="en-US"/>
        </w:rPr>
        <w:t>838,2</w:t>
      </w:r>
      <w:r w:rsidRPr="00526E6C">
        <w:rPr>
          <w:rFonts w:ascii="Times New Roman CYR" w:hAnsi="Times New Roman CYR" w:cs="Times New Roman CYR"/>
          <w:color w:val="000000"/>
          <w:kern w:val="24"/>
          <w:sz w:val="24"/>
          <w:szCs w:val="24"/>
          <w:lang w:eastAsia="en-US"/>
        </w:rPr>
        <w:t xml:space="preserve"> mil. dolari, cu </w:t>
      </w:r>
      <w:r>
        <w:rPr>
          <w:color w:val="000000"/>
          <w:kern w:val="24"/>
          <w:sz w:val="24"/>
          <w:szCs w:val="24"/>
          <w:lang w:eastAsia="en-US"/>
        </w:rPr>
        <w:t>20,6</w:t>
      </w:r>
      <w:r w:rsidRPr="00526E6C">
        <w:rPr>
          <w:color w:val="000000"/>
          <w:kern w:val="24"/>
          <w:sz w:val="24"/>
          <w:szCs w:val="24"/>
          <w:lang w:eastAsia="en-US"/>
        </w:rPr>
        <w:t xml:space="preserve">% mai mult decât în </w:t>
      </w:r>
      <w:r w:rsidRPr="00526E6C">
        <w:rPr>
          <w:rFonts w:ascii="Times New Roman CYR" w:hAnsi="Times New Roman CYR" w:cs="Times New Roman CYR"/>
          <w:color w:val="000000"/>
          <w:kern w:val="24"/>
          <w:sz w:val="24"/>
          <w:szCs w:val="24"/>
          <w:lang w:eastAsia="en-US"/>
        </w:rPr>
        <w:t xml:space="preserve">2017, Germania – </w:t>
      </w:r>
      <w:r>
        <w:rPr>
          <w:color w:val="000000"/>
          <w:kern w:val="24"/>
          <w:sz w:val="24"/>
          <w:szCs w:val="24"/>
          <w:lang w:eastAsia="en-US"/>
        </w:rPr>
        <w:t>484,1</w:t>
      </w:r>
      <w:r w:rsidRPr="00526E6C">
        <w:rPr>
          <w:rFonts w:ascii="Times New Roman CYR" w:hAnsi="Times New Roman CYR" w:cs="Times New Roman CYR"/>
          <w:color w:val="000000"/>
          <w:kern w:val="24"/>
          <w:sz w:val="24"/>
          <w:szCs w:val="24"/>
          <w:lang w:eastAsia="en-US"/>
        </w:rPr>
        <w:t xml:space="preserve"> mil. dolari (+</w:t>
      </w:r>
      <w:r>
        <w:rPr>
          <w:color w:val="000000"/>
          <w:kern w:val="24"/>
          <w:sz w:val="24"/>
          <w:szCs w:val="24"/>
          <w:lang w:eastAsia="en-US"/>
        </w:rPr>
        <w:t>23,9</w:t>
      </w:r>
      <w:r w:rsidRPr="00526E6C">
        <w:rPr>
          <w:rFonts w:ascii="Times New Roman CYR" w:hAnsi="Times New Roman CYR" w:cs="Times New Roman CYR"/>
          <w:color w:val="000000"/>
          <w:kern w:val="24"/>
          <w:sz w:val="24"/>
          <w:szCs w:val="24"/>
          <w:lang w:eastAsia="en-US"/>
        </w:rPr>
        <w:t xml:space="preserve">%), Italia – </w:t>
      </w:r>
      <w:r>
        <w:rPr>
          <w:color w:val="000000"/>
          <w:kern w:val="24"/>
          <w:sz w:val="24"/>
          <w:szCs w:val="24"/>
          <w:lang w:eastAsia="en-US"/>
        </w:rPr>
        <w:t>389,4</w:t>
      </w:r>
      <w:r w:rsidRPr="00526E6C">
        <w:rPr>
          <w:rFonts w:ascii="Times New Roman CYR" w:hAnsi="Times New Roman CYR" w:cs="Times New Roman CYR"/>
          <w:color w:val="000000"/>
          <w:kern w:val="24"/>
          <w:sz w:val="24"/>
          <w:szCs w:val="24"/>
          <w:lang w:eastAsia="en-US"/>
        </w:rPr>
        <w:t xml:space="preserve"> mil. dolari (+17,</w:t>
      </w:r>
      <w:r>
        <w:rPr>
          <w:color w:val="000000"/>
          <w:kern w:val="24"/>
          <w:sz w:val="24"/>
          <w:szCs w:val="24"/>
          <w:lang w:eastAsia="en-US"/>
        </w:rPr>
        <w:t>5</w:t>
      </w:r>
      <w:r w:rsidRPr="00526E6C">
        <w:rPr>
          <w:rFonts w:ascii="Times New Roman CYR" w:hAnsi="Times New Roman CYR" w:cs="Times New Roman CYR"/>
          <w:color w:val="000000"/>
          <w:kern w:val="24"/>
          <w:sz w:val="24"/>
          <w:szCs w:val="24"/>
          <w:lang w:eastAsia="en-US"/>
        </w:rPr>
        <w:t>%), Polonia –</w:t>
      </w:r>
      <w:r>
        <w:rPr>
          <w:color w:val="000000"/>
          <w:kern w:val="24"/>
          <w:sz w:val="24"/>
          <w:szCs w:val="24"/>
          <w:lang w:eastAsia="en-US"/>
        </w:rPr>
        <w:t>202,6</w:t>
      </w:r>
      <w:r w:rsidRPr="00526E6C">
        <w:rPr>
          <w:rFonts w:ascii="Times New Roman CYR" w:hAnsi="Times New Roman CYR" w:cs="Times New Roman CYR"/>
          <w:color w:val="000000"/>
          <w:kern w:val="24"/>
          <w:sz w:val="24"/>
          <w:szCs w:val="24"/>
          <w:lang w:eastAsia="en-US"/>
        </w:rPr>
        <w:t xml:space="preserve"> mil. dolari (+2</w:t>
      </w:r>
      <w:r>
        <w:rPr>
          <w:color w:val="000000"/>
          <w:kern w:val="24"/>
          <w:sz w:val="24"/>
          <w:szCs w:val="24"/>
          <w:lang w:eastAsia="en-US"/>
        </w:rPr>
        <w:t>2</w:t>
      </w:r>
      <w:r w:rsidRPr="00526E6C">
        <w:rPr>
          <w:rFonts w:ascii="Times New Roman CYR" w:hAnsi="Times New Roman CYR" w:cs="Times New Roman CYR"/>
          <w:color w:val="000000"/>
          <w:kern w:val="24"/>
          <w:sz w:val="24"/>
          <w:szCs w:val="24"/>
          <w:lang w:eastAsia="en-US"/>
        </w:rPr>
        <w:t>,</w:t>
      </w:r>
      <w:r>
        <w:rPr>
          <w:color w:val="000000"/>
          <w:kern w:val="24"/>
          <w:sz w:val="24"/>
          <w:szCs w:val="24"/>
          <w:lang w:eastAsia="en-US"/>
        </w:rPr>
        <w:t>3</w:t>
      </w:r>
      <w:r w:rsidRPr="00526E6C">
        <w:rPr>
          <w:rFonts w:ascii="Times New Roman CYR" w:hAnsi="Times New Roman CYR" w:cs="Times New Roman CYR"/>
          <w:color w:val="000000"/>
          <w:kern w:val="24"/>
          <w:sz w:val="24"/>
          <w:szCs w:val="24"/>
          <w:lang w:eastAsia="en-US"/>
        </w:rPr>
        <w:t>%), Franța – 1</w:t>
      </w:r>
      <w:r>
        <w:rPr>
          <w:color w:val="000000"/>
          <w:kern w:val="24"/>
          <w:sz w:val="24"/>
          <w:szCs w:val="24"/>
          <w:lang w:eastAsia="en-US"/>
        </w:rPr>
        <w:t>32,3</w:t>
      </w:r>
      <w:r w:rsidRPr="00526E6C">
        <w:rPr>
          <w:rFonts w:ascii="Times New Roman CYR" w:hAnsi="Times New Roman CYR" w:cs="Times New Roman CYR"/>
          <w:color w:val="000000"/>
          <w:kern w:val="24"/>
          <w:sz w:val="24"/>
          <w:szCs w:val="24"/>
          <w:lang w:eastAsia="en-US"/>
        </w:rPr>
        <w:t xml:space="preserve"> mil. dolari (+</w:t>
      </w:r>
      <w:r>
        <w:rPr>
          <w:color w:val="000000"/>
          <w:kern w:val="24"/>
          <w:sz w:val="24"/>
          <w:szCs w:val="24"/>
          <w:lang w:eastAsia="en-US"/>
        </w:rPr>
        <w:t>17,4</w:t>
      </w:r>
      <w:r w:rsidRPr="00526E6C">
        <w:rPr>
          <w:rFonts w:ascii="Times New Roman CYR" w:hAnsi="Times New Roman CYR" w:cs="Times New Roman CYR"/>
          <w:color w:val="000000"/>
          <w:kern w:val="24"/>
          <w:sz w:val="24"/>
          <w:szCs w:val="24"/>
          <w:lang w:eastAsia="en-US"/>
        </w:rPr>
        <w:t>%), Ungaria – 1</w:t>
      </w:r>
      <w:r>
        <w:rPr>
          <w:color w:val="000000"/>
          <w:kern w:val="24"/>
          <w:sz w:val="24"/>
          <w:szCs w:val="24"/>
          <w:lang w:eastAsia="en-US"/>
        </w:rPr>
        <w:t>10</w:t>
      </w:r>
      <w:r w:rsidRPr="00526E6C">
        <w:rPr>
          <w:rFonts w:ascii="Times New Roman CYR" w:hAnsi="Times New Roman CYR" w:cs="Times New Roman CYR"/>
          <w:color w:val="000000"/>
          <w:kern w:val="24"/>
          <w:sz w:val="24"/>
          <w:szCs w:val="24"/>
          <w:lang w:eastAsia="en-US"/>
        </w:rPr>
        <w:t>,</w:t>
      </w:r>
      <w:r>
        <w:rPr>
          <w:color w:val="000000"/>
          <w:kern w:val="24"/>
          <w:sz w:val="24"/>
          <w:szCs w:val="24"/>
          <w:lang w:eastAsia="en-US"/>
        </w:rPr>
        <w:t>7</w:t>
      </w:r>
      <w:r w:rsidRPr="00526E6C">
        <w:rPr>
          <w:rFonts w:ascii="Times New Roman CYR" w:hAnsi="Times New Roman CYR" w:cs="Times New Roman CYR"/>
          <w:color w:val="000000"/>
          <w:kern w:val="24"/>
          <w:sz w:val="24"/>
          <w:szCs w:val="24"/>
          <w:lang w:eastAsia="en-US"/>
        </w:rPr>
        <w:t xml:space="preserve"> mil. dolari (+</w:t>
      </w:r>
      <w:r>
        <w:rPr>
          <w:color w:val="000000"/>
          <w:kern w:val="24"/>
          <w:sz w:val="24"/>
          <w:szCs w:val="24"/>
          <w:lang w:eastAsia="en-US"/>
        </w:rPr>
        <w:t>11,1%), aceștia fiind unii din partenerii comerciali de bază ai Republicii Moldova.</w:t>
      </w:r>
      <w:r>
        <w:rPr>
          <w:color w:val="000000"/>
          <w:kern w:val="24"/>
          <w:sz w:val="24"/>
          <w:szCs w:val="24"/>
          <w:u w:val="single"/>
          <w:lang w:eastAsia="en-US"/>
        </w:rPr>
        <w:t xml:space="preserve"> </w:t>
      </w:r>
    </w:p>
    <w:p w:rsidR="009925C8" w:rsidRDefault="009925C8" w:rsidP="009925C8">
      <w:pPr>
        <w:tabs>
          <w:tab w:val="left" w:pos="4130"/>
        </w:tabs>
        <w:autoSpaceDE w:val="0"/>
        <w:autoSpaceDN w:val="0"/>
        <w:adjustRightInd w:val="0"/>
        <w:jc w:val="both"/>
        <w:rPr>
          <w:color w:val="000000"/>
          <w:kern w:val="24"/>
          <w:sz w:val="24"/>
          <w:szCs w:val="24"/>
          <w:u w:val="single"/>
          <w:lang w:eastAsia="en-US"/>
        </w:rPr>
      </w:pPr>
    </w:p>
    <w:p w:rsidR="009925C8" w:rsidRPr="00526E6C" w:rsidRDefault="009925C8" w:rsidP="009925C8">
      <w:pPr>
        <w:tabs>
          <w:tab w:val="left" w:pos="4130"/>
        </w:tabs>
        <w:autoSpaceDE w:val="0"/>
        <w:autoSpaceDN w:val="0"/>
        <w:adjustRightInd w:val="0"/>
        <w:jc w:val="both"/>
        <w:rPr>
          <w:rFonts w:ascii="Times New Roman CYR" w:hAnsi="Times New Roman CYR" w:cs="Times New Roman CYR"/>
          <w:color w:val="000000"/>
          <w:sz w:val="24"/>
          <w:szCs w:val="24"/>
          <w:lang w:eastAsia="en-US"/>
        </w:rPr>
      </w:pPr>
      <w:r>
        <w:rPr>
          <w:color w:val="000000"/>
          <w:kern w:val="24"/>
          <w:sz w:val="24"/>
          <w:szCs w:val="24"/>
          <w:lang w:eastAsia="en-US"/>
        </w:rPr>
        <w:t>Importurile de mărfuri provenite din</w:t>
      </w:r>
      <w:r>
        <w:rPr>
          <w:i/>
          <w:iCs/>
          <w:color w:val="000000"/>
          <w:kern w:val="24"/>
          <w:sz w:val="24"/>
          <w:szCs w:val="24"/>
          <w:lang w:eastAsia="en-US"/>
        </w:rPr>
        <w:t xml:space="preserve"> țările membre ale statelor </w:t>
      </w:r>
      <w:r w:rsidR="00C51DA8">
        <w:rPr>
          <w:color w:val="000000"/>
          <w:kern w:val="24"/>
          <w:sz w:val="24"/>
          <w:szCs w:val="24"/>
          <w:lang w:eastAsia="en-US"/>
        </w:rPr>
        <w:t>CSI în 2018 au însumat 1449,1</w:t>
      </w:r>
      <w:r>
        <w:rPr>
          <w:color w:val="000000"/>
          <w:kern w:val="24"/>
          <w:sz w:val="24"/>
          <w:szCs w:val="24"/>
          <w:lang w:eastAsia="en-US"/>
        </w:rPr>
        <w:t xml:space="preserve"> mil. dolari, în creștere cu 20,1% comparativ cu 2017, care echivalează cu o cotă d</w:t>
      </w:r>
      <w:r w:rsidR="00476B9A">
        <w:rPr>
          <w:color w:val="000000"/>
          <w:kern w:val="24"/>
          <w:sz w:val="24"/>
          <w:szCs w:val="24"/>
          <w:lang w:eastAsia="en-US"/>
        </w:rPr>
        <w:t>e circa 25,1% în total import (+</w:t>
      </w:r>
      <w:r>
        <w:rPr>
          <w:color w:val="000000"/>
          <w:kern w:val="24"/>
          <w:sz w:val="24"/>
          <w:szCs w:val="24"/>
          <w:lang w:eastAsia="en-US"/>
        </w:rPr>
        <w:t xml:space="preserve">0,1 p.p.). Importul de bunuri din aceste țări a fost: din Federația Rusă - în valoare de 720,8 mil. dolari, cu 26% mai mult față de 2017, din Ucraina – 577,1 mil. dolari (+13%) și Belarus – 128,0 mil. dolari (+11,7%). </w:t>
      </w:r>
    </w:p>
    <w:p w:rsidR="009925C8" w:rsidRPr="00526E6C" w:rsidRDefault="009925C8" w:rsidP="009925C8">
      <w:pPr>
        <w:tabs>
          <w:tab w:val="left" w:pos="4130"/>
        </w:tabs>
        <w:autoSpaceDE w:val="0"/>
        <w:autoSpaceDN w:val="0"/>
        <w:adjustRightInd w:val="0"/>
        <w:jc w:val="both"/>
        <w:rPr>
          <w:rFonts w:ascii="Times New Roman CYR" w:hAnsi="Times New Roman CYR" w:cs="Times New Roman CYR"/>
          <w:color w:val="C00000"/>
          <w:kern w:val="24"/>
          <w:lang w:eastAsia="en-US"/>
        </w:rPr>
      </w:pPr>
    </w:p>
    <w:p w:rsidR="009925C8" w:rsidRPr="00526E6C" w:rsidRDefault="009925C8" w:rsidP="009925C8">
      <w:pPr>
        <w:tabs>
          <w:tab w:val="left" w:pos="4130"/>
        </w:tabs>
        <w:autoSpaceDE w:val="0"/>
        <w:autoSpaceDN w:val="0"/>
        <w:adjustRightInd w:val="0"/>
        <w:jc w:val="both"/>
        <w:rPr>
          <w:rFonts w:ascii="Times New Roman CYR" w:hAnsi="Times New Roman CYR" w:cs="Times New Roman CYR"/>
          <w:color w:val="000000"/>
          <w:sz w:val="24"/>
          <w:szCs w:val="24"/>
          <w:lang w:val="en-US" w:eastAsia="en-US"/>
        </w:rPr>
      </w:pPr>
      <w:proofErr w:type="spellStart"/>
      <w:r w:rsidRPr="00526E6C">
        <w:rPr>
          <w:rFonts w:ascii="Times New Roman CYR" w:hAnsi="Times New Roman CYR" w:cs="Times New Roman CYR"/>
          <w:color w:val="000000"/>
          <w:kern w:val="24"/>
          <w:sz w:val="24"/>
          <w:szCs w:val="24"/>
          <w:lang w:val="en-US" w:eastAsia="en-US"/>
        </w:rPr>
        <w:t>Importurile</w:t>
      </w:r>
      <w:proofErr w:type="spellEnd"/>
      <w:r w:rsidRPr="00526E6C">
        <w:rPr>
          <w:rFonts w:ascii="Times New Roman CYR" w:hAnsi="Times New Roman CYR" w:cs="Times New Roman CYR"/>
          <w:color w:val="000000"/>
          <w:kern w:val="24"/>
          <w:sz w:val="24"/>
          <w:szCs w:val="24"/>
          <w:lang w:val="en-US" w:eastAsia="en-US"/>
        </w:rPr>
        <w:t xml:space="preserve"> din </w:t>
      </w:r>
      <w:r>
        <w:rPr>
          <w:i/>
          <w:iCs/>
          <w:color w:val="000000"/>
          <w:kern w:val="24"/>
          <w:sz w:val="24"/>
          <w:szCs w:val="24"/>
          <w:lang w:eastAsia="en-US"/>
        </w:rPr>
        <w:t>alte țări</w:t>
      </w:r>
      <w:r>
        <w:rPr>
          <w:color w:val="000000"/>
          <w:kern w:val="24"/>
          <w:sz w:val="24"/>
          <w:szCs w:val="24"/>
          <w:lang w:val="en-US" w:eastAsia="en-US"/>
        </w:rPr>
        <w:t xml:space="preserve"> </w:t>
      </w:r>
      <w:proofErr w:type="spellStart"/>
      <w:r>
        <w:rPr>
          <w:color w:val="000000"/>
          <w:kern w:val="24"/>
          <w:sz w:val="24"/>
          <w:szCs w:val="24"/>
          <w:lang w:val="en-US" w:eastAsia="en-US"/>
        </w:rPr>
        <w:t>în</w:t>
      </w:r>
      <w:proofErr w:type="spellEnd"/>
      <w:r>
        <w:rPr>
          <w:color w:val="000000"/>
          <w:kern w:val="24"/>
          <w:sz w:val="24"/>
          <w:szCs w:val="24"/>
          <w:lang w:val="en-US" w:eastAsia="en-US"/>
        </w:rPr>
        <w:t xml:space="preserve"> 2018 au </w:t>
      </w:r>
      <w:proofErr w:type="spellStart"/>
      <w:r>
        <w:rPr>
          <w:color w:val="000000"/>
          <w:kern w:val="24"/>
          <w:sz w:val="24"/>
          <w:szCs w:val="24"/>
          <w:lang w:val="en-US" w:eastAsia="en-US"/>
        </w:rPr>
        <w:t>înregistrat</w:t>
      </w:r>
      <w:proofErr w:type="spellEnd"/>
      <w:r>
        <w:rPr>
          <w:color w:val="000000"/>
          <w:kern w:val="24"/>
          <w:sz w:val="24"/>
          <w:szCs w:val="24"/>
          <w:lang w:val="en-US" w:eastAsia="en-US"/>
        </w:rPr>
        <w:t xml:space="preserve"> </w:t>
      </w:r>
      <w:proofErr w:type="spellStart"/>
      <w:r>
        <w:rPr>
          <w:color w:val="000000"/>
          <w:kern w:val="24"/>
          <w:sz w:val="24"/>
          <w:szCs w:val="24"/>
          <w:lang w:val="en-US" w:eastAsia="en-US"/>
        </w:rPr>
        <w:t>creștere</w:t>
      </w:r>
      <w:proofErr w:type="spellEnd"/>
      <w:r>
        <w:rPr>
          <w:color w:val="000000"/>
          <w:kern w:val="24"/>
          <w:sz w:val="24"/>
          <w:szCs w:val="24"/>
          <w:lang w:val="en-US" w:eastAsia="en-US"/>
        </w:rPr>
        <w:t xml:space="preserve"> cu </w:t>
      </w:r>
      <w:r>
        <w:rPr>
          <w:color w:val="000000"/>
          <w:kern w:val="24"/>
          <w:sz w:val="24"/>
          <w:szCs w:val="24"/>
          <w:lang w:eastAsia="en-US"/>
        </w:rPr>
        <w:t>18</w:t>
      </w:r>
      <w:proofErr w:type="gramStart"/>
      <w:r>
        <w:rPr>
          <w:color w:val="000000"/>
          <w:kern w:val="24"/>
          <w:sz w:val="24"/>
          <w:szCs w:val="24"/>
          <w:lang w:eastAsia="en-US"/>
        </w:rPr>
        <w:t>,5</w:t>
      </w:r>
      <w:proofErr w:type="gramEnd"/>
      <w:r>
        <w:rPr>
          <w:color w:val="000000"/>
          <w:kern w:val="24"/>
          <w:sz w:val="24"/>
          <w:szCs w:val="24"/>
          <w:lang w:val="en-US" w:eastAsia="en-US"/>
        </w:rPr>
        <w:t xml:space="preserve">% </w:t>
      </w:r>
      <w:proofErr w:type="spellStart"/>
      <w:r>
        <w:rPr>
          <w:color w:val="000000"/>
          <w:kern w:val="24"/>
          <w:sz w:val="24"/>
          <w:szCs w:val="24"/>
          <w:lang w:val="en-US" w:eastAsia="en-US"/>
        </w:rPr>
        <w:t>în</w:t>
      </w:r>
      <w:proofErr w:type="spellEnd"/>
      <w:r>
        <w:rPr>
          <w:color w:val="000000"/>
          <w:kern w:val="24"/>
          <w:sz w:val="24"/>
          <w:szCs w:val="24"/>
          <w:lang w:val="en-US" w:eastAsia="en-US"/>
        </w:rPr>
        <w:t xml:space="preserve"> </w:t>
      </w:r>
      <w:r w:rsidRPr="00526E6C">
        <w:rPr>
          <w:rFonts w:ascii="Times New Roman CYR" w:hAnsi="Times New Roman CYR" w:cs="Times New Roman CYR"/>
          <w:color w:val="000000"/>
          <w:kern w:val="24"/>
          <w:sz w:val="24"/>
          <w:szCs w:val="24"/>
          <w:lang w:val="en-US" w:eastAsia="en-US"/>
        </w:rPr>
        <w:t xml:space="preserve">2017. </w:t>
      </w:r>
      <w:proofErr w:type="spellStart"/>
      <w:r w:rsidRPr="00526E6C">
        <w:rPr>
          <w:rFonts w:ascii="Times New Roman CYR" w:hAnsi="Times New Roman CYR" w:cs="Times New Roman CYR"/>
          <w:color w:val="000000"/>
          <w:kern w:val="24"/>
          <w:sz w:val="24"/>
          <w:szCs w:val="24"/>
          <w:lang w:val="en-US" w:eastAsia="en-US"/>
        </w:rPr>
        <w:t>Volumul</w:t>
      </w:r>
      <w:proofErr w:type="spellEnd"/>
      <w:r w:rsidRPr="00526E6C">
        <w:rPr>
          <w:rFonts w:ascii="Times New Roman CYR" w:hAnsi="Times New Roman CYR" w:cs="Times New Roman CYR"/>
          <w:color w:val="000000"/>
          <w:kern w:val="24"/>
          <w:sz w:val="24"/>
          <w:szCs w:val="24"/>
          <w:lang w:val="en-US" w:eastAsia="en-US"/>
        </w:rPr>
        <w:t xml:space="preserve"> </w:t>
      </w:r>
      <w:proofErr w:type="spellStart"/>
      <w:r w:rsidRPr="00526E6C">
        <w:rPr>
          <w:rFonts w:ascii="Times New Roman CYR" w:hAnsi="Times New Roman CYR" w:cs="Times New Roman CYR"/>
          <w:color w:val="000000"/>
          <w:kern w:val="24"/>
          <w:sz w:val="24"/>
          <w:szCs w:val="24"/>
          <w:lang w:val="en-US" w:eastAsia="en-US"/>
        </w:rPr>
        <w:t>acestor</w:t>
      </w:r>
      <w:proofErr w:type="spellEnd"/>
      <w:r w:rsidRPr="00526E6C">
        <w:rPr>
          <w:rFonts w:ascii="Times New Roman CYR" w:hAnsi="Times New Roman CYR" w:cs="Times New Roman CYR"/>
          <w:color w:val="000000"/>
          <w:kern w:val="24"/>
          <w:sz w:val="24"/>
          <w:szCs w:val="24"/>
          <w:lang w:val="en-US" w:eastAsia="en-US"/>
        </w:rPr>
        <w:t xml:space="preserve"> </w:t>
      </w:r>
      <w:proofErr w:type="spellStart"/>
      <w:r w:rsidRPr="00526E6C">
        <w:rPr>
          <w:rFonts w:ascii="Times New Roman CYR" w:hAnsi="Times New Roman CYR" w:cs="Times New Roman CYR"/>
          <w:color w:val="000000"/>
          <w:kern w:val="24"/>
          <w:sz w:val="24"/>
          <w:szCs w:val="24"/>
          <w:lang w:val="en-US" w:eastAsia="en-US"/>
        </w:rPr>
        <w:t>importuri</w:t>
      </w:r>
      <w:proofErr w:type="spellEnd"/>
      <w:r w:rsidRPr="00526E6C">
        <w:rPr>
          <w:rFonts w:ascii="Times New Roman CYR" w:hAnsi="Times New Roman CYR" w:cs="Times New Roman CYR"/>
          <w:color w:val="000000"/>
          <w:kern w:val="24"/>
          <w:sz w:val="24"/>
          <w:szCs w:val="24"/>
          <w:lang w:val="en-US" w:eastAsia="en-US"/>
        </w:rPr>
        <w:t xml:space="preserve"> a </w:t>
      </w:r>
      <w:proofErr w:type="spellStart"/>
      <w:r w:rsidRPr="00526E6C">
        <w:rPr>
          <w:rFonts w:ascii="Times New Roman CYR" w:hAnsi="Times New Roman CYR" w:cs="Times New Roman CYR"/>
          <w:color w:val="000000"/>
          <w:kern w:val="24"/>
          <w:sz w:val="24"/>
          <w:szCs w:val="24"/>
          <w:lang w:val="en-US" w:eastAsia="en-US"/>
        </w:rPr>
        <w:t>constituit</w:t>
      </w:r>
      <w:proofErr w:type="spellEnd"/>
      <w:r w:rsidRPr="00526E6C">
        <w:rPr>
          <w:rFonts w:ascii="Times New Roman CYR" w:hAnsi="Times New Roman CYR" w:cs="Times New Roman CYR"/>
          <w:color w:val="000000"/>
          <w:kern w:val="24"/>
          <w:sz w:val="24"/>
          <w:szCs w:val="24"/>
          <w:lang w:val="en-US" w:eastAsia="en-US"/>
        </w:rPr>
        <w:t xml:space="preserve"> </w:t>
      </w:r>
      <w:r>
        <w:rPr>
          <w:color w:val="000000"/>
          <w:kern w:val="24"/>
          <w:sz w:val="24"/>
          <w:szCs w:val="24"/>
          <w:lang w:eastAsia="en-US"/>
        </w:rPr>
        <w:t>1464</w:t>
      </w:r>
      <w:proofErr w:type="gramStart"/>
      <w:r>
        <w:rPr>
          <w:color w:val="000000"/>
          <w:kern w:val="24"/>
          <w:sz w:val="24"/>
          <w:szCs w:val="24"/>
          <w:lang w:eastAsia="en-US"/>
        </w:rPr>
        <w:t>,5</w:t>
      </w:r>
      <w:proofErr w:type="gramEnd"/>
      <w:r w:rsidRPr="00526E6C">
        <w:rPr>
          <w:rFonts w:ascii="Times New Roman CYR" w:hAnsi="Times New Roman CYR" w:cs="Times New Roman CYR"/>
          <w:color w:val="000000"/>
          <w:kern w:val="24"/>
          <w:sz w:val="24"/>
          <w:szCs w:val="24"/>
          <w:lang w:val="en-US" w:eastAsia="en-US"/>
        </w:rPr>
        <w:t xml:space="preserve"> mil. </w:t>
      </w:r>
      <w:proofErr w:type="spellStart"/>
      <w:proofErr w:type="gramStart"/>
      <w:r w:rsidRPr="00526E6C">
        <w:rPr>
          <w:rFonts w:ascii="Times New Roman CYR" w:hAnsi="Times New Roman CYR" w:cs="Times New Roman CYR"/>
          <w:color w:val="000000"/>
          <w:kern w:val="24"/>
          <w:sz w:val="24"/>
          <w:szCs w:val="24"/>
          <w:lang w:val="en-US" w:eastAsia="en-US"/>
        </w:rPr>
        <w:t>dolari</w:t>
      </w:r>
      <w:proofErr w:type="spellEnd"/>
      <w:proofErr w:type="gramEnd"/>
      <w:r w:rsidRPr="00526E6C">
        <w:rPr>
          <w:rFonts w:ascii="Times New Roman CYR" w:hAnsi="Times New Roman CYR" w:cs="Times New Roman CYR"/>
          <w:color w:val="000000"/>
          <w:kern w:val="24"/>
          <w:sz w:val="24"/>
          <w:szCs w:val="24"/>
          <w:lang w:val="en-US" w:eastAsia="en-US"/>
        </w:rPr>
        <w:t xml:space="preserve"> </w:t>
      </w:r>
      <w:proofErr w:type="spellStart"/>
      <w:r w:rsidRPr="00526E6C">
        <w:rPr>
          <w:rFonts w:ascii="Times New Roman CYR" w:hAnsi="Times New Roman CYR" w:cs="Times New Roman CYR"/>
          <w:color w:val="000000"/>
          <w:kern w:val="24"/>
          <w:sz w:val="24"/>
          <w:szCs w:val="24"/>
          <w:lang w:val="en-US" w:eastAsia="en-US"/>
        </w:rPr>
        <w:t>și</w:t>
      </w:r>
      <w:proofErr w:type="spellEnd"/>
      <w:r w:rsidRPr="00526E6C">
        <w:rPr>
          <w:rFonts w:ascii="Times New Roman CYR" w:hAnsi="Times New Roman CYR" w:cs="Times New Roman CYR"/>
          <w:color w:val="000000"/>
          <w:kern w:val="24"/>
          <w:sz w:val="24"/>
          <w:szCs w:val="24"/>
          <w:lang w:val="en-US" w:eastAsia="en-US"/>
        </w:rPr>
        <w:t xml:space="preserve"> a </w:t>
      </w:r>
      <w:proofErr w:type="spellStart"/>
      <w:r w:rsidRPr="00526E6C">
        <w:rPr>
          <w:rFonts w:ascii="Times New Roman CYR" w:hAnsi="Times New Roman CYR" w:cs="Times New Roman CYR"/>
          <w:color w:val="000000"/>
          <w:kern w:val="24"/>
          <w:sz w:val="24"/>
          <w:szCs w:val="24"/>
          <w:lang w:val="en-US" w:eastAsia="en-US"/>
        </w:rPr>
        <w:t>deținut</w:t>
      </w:r>
      <w:proofErr w:type="spellEnd"/>
      <w:r w:rsidRPr="00526E6C">
        <w:rPr>
          <w:rFonts w:ascii="Times New Roman CYR" w:hAnsi="Times New Roman CYR" w:cs="Times New Roman CYR"/>
          <w:color w:val="000000"/>
          <w:kern w:val="24"/>
          <w:sz w:val="24"/>
          <w:szCs w:val="24"/>
          <w:lang w:val="en-US" w:eastAsia="en-US"/>
        </w:rPr>
        <w:t xml:space="preserve"> o </w:t>
      </w:r>
      <w:proofErr w:type="spellStart"/>
      <w:r w:rsidRPr="00526E6C">
        <w:rPr>
          <w:rFonts w:ascii="Times New Roman CYR" w:hAnsi="Times New Roman CYR" w:cs="Times New Roman CYR"/>
          <w:color w:val="000000"/>
          <w:kern w:val="24"/>
          <w:sz w:val="24"/>
          <w:szCs w:val="24"/>
          <w:lang w:val="en-US" w:eastAsia="en-US"/>
        </w:rPr>
        <w:t>pondere</w:t>
      </w:r>
      <w:proofErr w:type="spellEnd"/>
      <w:r w:rsidRPr="00526E6C">
        <w:rPr>
          <w:rFonts w:ascii="Times New Roman CYR" w:hAnsi="Times New Roman CYR" w:cs="Times New Roman CYR"/>
          <w:color w:val="000000"/>
          <w:kern w:val="24"/>
          <w:sz w:val="24"/>
          <w:szCs w:val="24"/>
          <w:lang w:val="en-US" w:eastAsia="en-US"/>
        </w:rPr>
        <w:t xml:space="preserve"> de 2</w:t>
      </w:r>
      <w:r>
        <w:rPr>
          <w:color w:val="000000"/>
          <w:kern w:val="24"/>
          <w:sz w:val="24"/>
          <w:szCs w:val="24"/>
          <w:lang w:eastAsia="en-US"/>
        </w:rPr>
        <w:t>5,4</w:t>
      </w:r>
      <w:r>
        <w:rPr>
          <w:color w:val="000000"/>
          <w:kern w:val="24"/>
          <w:sz w:val="24"/>
          <w:szCs w:val="24"/>
          <w:lang w:val="en-US" w:eastAsia="en-US"/>
        </w:rPr>
        <w:t xml:space="preserve">% </w:t>
      </w:r>
      <w:proofErr w:type="spellStart"/>
      <w:r>
        <w:rPr>
          <w:color w:val="000000"/>
          <w:kern w:val="24"/>
          <w:sz w:val="24"/>
          <w:szCs w:val="24"/>
          <w:lang w:val="en-US" w:eastAsia="en-US"/>
        </w:rPr>
        <w:t>în</w:t>
      </w:r>
      <w:proofErr w:type="spellEnd"/>
      <w:r>
        <w:rPr>
          <w:color w:val="000000"/>
          <w:kern w:val="24"/>
          <w:sz w:val="24"/>
          <w:szCs w:val="24"/>
          <w:lang w:val="en-US" w:eastAsia="en-US"/>
        </w:rPr>
        <w:t xml:space="preserve"> total import (</w:t>
      </w:r>
      <w:r w:rsidRPr="00526E6C">
        <w:rPr>
          <w:rFonts w:ascii="Times New Roman CYR" w:hAnsi="Times New Roman CYR" w:cs="Times New Roman CYR"/>
          <w:color w:val="000000"/>
          <w:kern w:val="24"/>
          <w:sz w:val="24"/>
          <w:szCs w:val="24"/>
          <w:lang w:val="en-US" w:eastAsia="en-US"/>
        </w:rPr>
        <w:t>-0,</w:t>
      </w:r>
      <w:r>
        <w:rPr>
          <w:color w:val="000000"/>
          <w:kern w:val="24"/>
          <w:sz w:val="24"/>
          <w:szCs w:val="24"/>
          <w:lang w:eastAsia="en-US"/>
        </w:rPr>
        <w:t>2</w:t>
      </w:r>
      <w:r>
        <w:rPr>
          <w:color w:val="000000"/>
          <w:kern w:val="24"/>
          <w:sz w:val="24"/>
          <w:szCs w:val="24"/>
          <w:lang w:val="en-US" w:eastAsia="en-US"/>
        </w:rPr>
        <w:t xml:space="preserve"> p.p.). </w:t>
      </w:r>
      <w:proofErr w:type="spellStart"/>
      <w:r>
        <w:rPr>
          <w:color w:val="000000"/>
          <w:kern w:val="24"/>
          <w:sz w:val="24"/>
          <w:szCs w:val="24"/>
          <w:lang w:val="en-US" w:eastAsia="en-US"/>
        </w:rPr>
        <w:t>Cele</w:t>
      </w:r>
      <w:proofErr w:type="spellEnd"/>
      <w:r>
        <w:rPr>
          <w:color w:val="000000"/>
          <w:kern w:val="24"/>
          <w:sz w:val="24"/>
          <w:szCs w:val="24"/>
          <w:lang w:val="en-US" w:eastAsia="en-US"/>
        </w:rPr>
        <w:t xml:space="preserve"> </w:t>
      </w:r>
      <w:proofErr w:type="spellStart"/>
      <w:r>
        <w:rPr>
          <w:color w:val="000000"/>
          <w:kern w:val="24"/>
          <w:sz w:val="24"/>
          <w:szCs w:val="24"/>
          <w:lang w:val="en-US" w:eastAsia="en-US"/>
        </w:rPr>
        <w:t>mai</w:t>
      </w:r>
      <w:proofErr w:type="spellEnd"/>
      <w:r>
        <w:rPr>
          <w:color w:val="000000"/>
          <w:kern w:val="24"/>
          <w:sz w:val="24"/>
          <w:szCs w:val="24"/>
          <w:lang w:val="en-US" w:eastAsia="en-US"/>
        </w:rPr>
        <w:t xml:space="preserve"> </w:t>
      </w:r>
      <w:proofErr w:type="spellStart"/>
      <w:r>
        <w:rPr>
          <w:color w:val="000000"/>
          <w:kern w:val="24"/>
          <w:sz w:val="24"/>
          <w:szCs w:val="24"/>
          <w:lang w:val="en-US" w:eastAsia="en-US"/>
        </w:rPr>
        <w:t>semnificative</w:t>
      </w:r>
      <w:proofErr w:type="spellEnd"/>
      <w:r>
        <w:rPr>
          <w:color w:val="000000"/>
          <w:kern w:val="24"/>
          <w:sz w:val="24"/>
          <w:szCs w:val="24"/>
          <w:lang w:val="en-US" w:eastAsia="en-US"/>
        </w:rPr>
        <w:t xml:space="preserve"> </w:t>
      </w:r>
      <w:proofErr w:type="spellStart"/>
      <w:r>
        <w:rPr>
          <w:color w:val="000000"/>
          <w:kern w:val="24"/>
          <w:sz w:val="24"/>
          <w:szCs w:val="24"/>
          <w:lang w:val="en-US" w:eastAsia="en-US"/>
        </w:rPr>
        <w:t>importuri</w:t>
      </w:r>
      <w:proofErr w:type="spellEnd"/>
      <w:r>
        <w:rPr>
          <w:color w:val="000000"/>
          <w:kern w:val="24"/>
          <w:sz w:val="24"/>
          <w:szCs w:val="24"/>
          <w:lang w:val="en-US" w:eastAsia="en-US"/>
        </w:rPr>
        <w:t xml:space="preserve"> au </w:t>
      </w:r>
      <w:proofErr w:type="spellStart"/>
      <w:r>
        <w:rPr>
          <w:color w:val="000000"/>
          <w:kern w:val="24"/>
          <w:sz w:val="24"/>
          <w:szCs w:val="24"/>
          <w:lang w:val="en-US" w:eastAsia="en-US"/>
        </w:rPr>
        <w:t>fost</w:t>
      </w:r>
      <w:proofErr w:type="spellEnd"/>
      <w:r>
        <w:rPr>
          <w:color w:val="000000"/>
          <w:kern w:val="24"/>
          <w:sz w:val="24"/>
          <w:szCs w:val="24"/>
          <w:lang w:val="en-US" w:eastAsia="en-US"/>
        </w:rPr>
        <w:t xml:space="preserve"> din China </w:t>
      </w:r>
      <w:proofErr w:type="spellStart"/>
      <w:r>
        <w:rPr>
          <w:color w:val="000000"/>
          <w:kern w:val="24"/>
          <w:sz w:val="24"/>
          <w:szCs w:val="24"/>
          <w:lang w:val="en-US" w:eastAsia="en-US"/>
        </w:rPr>
        <w:t>în</w:t>
      </w:r>
      <w:proofErr w:type="spellEnd"/>
      <w:r>
        <w:rPr>
          <w:color w:val="000000"/>
          <w:kern w:val="24"/>
          <w:sz w:val="24"/>
          <w:szCs w:val="24"/>
          <w:lang w:val="en-US" w:eastAsia="en-US"/>
        </w:rPr>
        <w:t xml:space="preserve"> </w:t>
      </w:r>
      <w:proofErr w:type="spellStart"/>
      <w:r>
        <w:rPr>
          <w:color w:val="000000"/>
          <w:kern w:val="24"/>
          <w:sz w:val="24"/>
          <w:szCs w:val="24"/>
          <w:lang w:val="en-US" w:eastAsia="en-US"/>
        </w:rPr>
        <w:t>valoare</w:t>
      </w:r>
      <w:proofErr w:type="spellEnd"/>
      <w:r>
        <w:rPr>
          <w:color w:val="000000"/>
          <w:kern w:val="24"/>
          <w:sz w:val="24"/>
          <w:szCs w:val="24"/>
          <w:lang w:val="en-US" w:eastAsia="en-US"/>
        </w:rPr>
        <w:t xml:space="preserve"> de </w:t>
      </w:r>
      <w:r>
        <w:rPr>
          <w:color w:val="000000"/>
          <w:kern w:val="24"/>
          <w:sz w:val="24"/>
          <w:szCs w:val="24"/>
          <w:lang w:eastAsia="en-US"/>
        </w:rPr>
        <w:t>600</w:t>
      </w:r>
      <w:proofErr w:type="gramStart"/>
      <w:r>
        <w:rPr>
          <w:color w:val="000000"/>
          <w:kern w:val="24"/>
          <w:sz w:val="24"/>
          <w:szCs w:val="24"/>
          <w:lang w:eastAsia="en-US"/>
        </w:rPr>
        <w:t>,3</w:t>
      </w:r>
      <w:proofErr w:type="gramEnd"/>
      <w:r w:rsidRPr="00526E6C">
        <w:rPr>
          <w:rFonts w:ascii="Times New Roman CYR" w:hAnsi="Times New Roman CYR" w:cs="Times New Roman CYR"/>
          <w:color w:val="000000"/>
          <w:kern w:val="24"/>
          <w:sz w:val="24"/>
          <w:szCs w:val="24"/>
          <w:lang w:val="en-US" w:eastAsia="en-US"/>
        </w:rPr>
        <w:t xml:space="preserve"> mil. </w:t>
      </w:r>
      <w:proofErr w:type="spellStart"/>
      <w:proofErr w:type="gramStart"/>
      <w:r w:rsidRPr="00526E6C">
        <w:rPr>
          <w:rFonts w:ascii="Times New Roman CYR" w:hAnsi="Times New Roman CYR" w:cs="Times New Roman CYR"/>
          <w:color w:val="000000"/>
          <w:kern w:val="24"/>
          <w:sz w:val="24"/>
          <w:szCs w:val="24"/>
          <w:lang w:val="en-US" w:eastAsia="en-US"/>
        </w:rPr>
        <w:t>dolari</w:t>
      </w:r>
      <w:proofErr w:type="spellEnd"/>
      <w:proofErr w:type="gramEnd"/>
      <w:r w:rsidRPr="00526E6C">
        <w:rPr>
          <w:rFonts w:ascii="Times New Roman CYR" w:hAnsi="Times New Roman CYR" w:cs="Times New Roman CYR"/>
          <w:color w:val="000000"/>
          <w:kern w:val="24"/>
          <w:sz w:val="24"/>
          <w:szCs w:val="24"/>
          <w:lang w:val="en-US" w:eastAsia="en-US"/>
        </w:rPr>
        <w:t xml:space="preserve"> (+</w:t>
      </w:r>
      <w:r>
        <w:rPr>
          <w:color w:val="000000"/>
          <w:kern w:val="24"/>
          <w:sz w:val="24"/>
          <w:szCs w:val="24"/>
          <w:lang w:eastAsia="en-US"/>
        </w:rPr>
        <w:t>18,7</w:t>
      </w:r>
      <w:r w:rsidRPr="00526E6C">
        <w:rPr>
          <w:rFonts w:ascii="Times New Roman CYR" w:hAnsi="Times New Roman CYR" w:cs="Times New Roman CYR"/>
          <w:color w:val="000000"/>
          <w:kern w:val="24"/>
          <w:sz w:val="24"/>
          <w:szCs w:val="24"/>
          <w:lang w:val="en-US" w:eastAsia="en-US"/>
        </w:rPr>
        <w:t xml:space="preserve">%), </w:t>
      </w:r>
      <w:proofErr w:type="spellStart"/>
      <w:r w:rsidRPr="00526E6C">
        <w:rPr>
          <w:rFonts w:ascii="Times New Roman CYR" w:hAnsi="Times New Roman CYR" w:cs="Times New Roman CYR"/>
          <w:color w:val="000000"/>
          <w:kern w:val="24"/>
          <w:sz w:val="24"/>
          <w:szCs w:val="24"/>
          <w:lang w:val="en-US" w:eastAsia="en-US"/>
        </w:rPr>
        <w:t>Turcia</w:t>
      </w:r>
      <w:proofErr w:type="spellEnd"/>
      <w:r w:rsidRPr="00526E6C">
        <w:rPr>
          <w:rFonts w:ascii="Times New Roman CYR" w:hAnsi="Times New Roman CYR" w:cs="Times New Roman CYR"/>
          <w:color w:val="000000"/>
          <w:kern w:val="24"/>
          <w:sz w:val="24"/>
          <w:szCs w:val="24"/>
          <w:lang w:val="en-US" w:eastAsia="en-US"/>
        </w:rPr>
        <w:t xml:space="preserve"> – </w:t>
      </w:r>
      <w:r>
        <w:rPr>
          <w:color w:val="000000"/>
          <w:kern w:val="24"/>
          <w:sz w:val="24"/>
          <w:szCs w:val="24"/>
          <w:lang w:eastAsia="en-US"/>
        </w:rPr>
        <w:t>339,9</w:t>
      </w:r>
      <w:r w:rsidRPr="00526E6C">
        <w:rPr>
          <w:rFonts w:ascii="Times New Roman CYR" w:hAnsi="Times New Roman CYR" w:cs="Times New Roman CYR"/>
          <w:color w:val="000000"/>
          <w:kern w:val="24"/>
          <w:sz w:val="24"/>
          <w:szCs w:val="24"/>
          <w:lang w:val="en-US" w:eastAsia="en-US"/>
        </w:rPr>
        <w:t xml:space="preserve"> mil. </w:t>
      </w:r>
      <w:proofErr w:type="spellStart"/>
      <w:r w:rsidRPr="00526E6C">
        <w:rPr>
          <w:rFonts w:ascii="Times New Roman CYR" w:hAnsi="Times New Roman CYR" w:cs="Times New Roman CYR"/>
          <w:color w:val="000000"/>
          <w:kern w:val="24"/>
          <w:sz w:val="24"/>
          <w:szCs w:val="24"/>
          <w:lang w:val="en-US" w:eastAsia="en-US"/>
        </w:rPr>
        <w:t>dolari</w:t>
      </w:r>
      <w:proofErr w:type="spellEnd"/>
      <w:r w:rsidRPr="00526E6C">
        <w:rPr>
          <w:rFonts w:ascii="Times New Roman CYR" w:hAnsi="Times New Roman CYR" w:cs="Times New Roman CYR"/>
          <w:color w:val="000000"/>
          <w:kern w:val="24"/>
          <w:sz w:val="24"/>
          <w:szCs w:val="24"/>
          <w:lang w:val="en-US" w:eastAsia="en-US"/>
        </w:rPr>
        <w:t xml:space="preserve"> (+1</w:t>
      </w:r>
      <w:r>
        <w:rPr>
          <w:color w:val="000000"/>
          <w:kern w:val="24"/>
          <w:sz w:val="24"/>
          <w:szCs w:val="24"/>
          <w:lang w:eastAsia="en-US"/>
        </w:rPr>
        <w:t>1,7</w:t>
      </w:r>
      <w:r w:rsidRPr="00526E6C">
        <w:rPr>
          <w:rFonts w:ascii="Times New Roman CYR" w:hAnsi="Times New Roman CYR" w:cs="Times New Roman CYR"/>
          <w:color w:val="000000"/>
          <w:kern w:val="24"/>
          <w:sz w:val="24"/>
          <w:szCs w:val="24"/>
          <w:lang w:val="en-US" w:eastAsia="en-US"/>
        </w:rPr>
        <w:t xml:space="preserve">%), </w:t>
      </w:r>
      <w:proofErr w:type="spellStart"/>
      <w:r w:rsidRPr="00526E6C">
        <w:rPr>
          <w:rFonts w:ascii="Times New Roman CYR" w:hAnsi="Times New Roman CYR" w:cs="Times New Roman CYR"/>
          <w:color w:val="000000"/>
          <w:kern w:val="24"/>
          <w:sz w:val="24"/>
          <w:szCs w:val="24"/>
          <w:lang w:val="en-US" w:eastAsia="en-US"/>
        </w:rPr>
        <w:t>Statele</w:t>
      </w:r>
      <w:proofErr w:type="spellEnd"/>
      <w:r w:rsidRPr="00526E6C">
        <w:rPr>
          <w:rFonts w:ascii="Times New Roman CYR" w:hAnsi="Times New Roman CYR" w:cs="Times New Roman CYR"/>
          <w:color w:val="000000"/>
          <w:kern w:val="24"/>
          <w:sz w:val="24"/>
          <w:szCs w:val="24"/>
          <w:lang w:val="en-US" w:eastAsia="en-US"/>
        </w:rPr>
        <w:t xml:space="preserve"> Unite ale </w:t>
      </w:r>
      <w:proofErr w:type="spellStart"/>
      <w:r w:rsidRPr="00526E6C">
        <w:rPr>
          <w:rFonts w:ascii="Times New Roman CYR" w:hAnsi="Times New Roman CYR" w:cs="Times New Roman CYR"/>
          <w:color w:val="000000"/>
          <w:kern w:val="24"/>
          <w:sz w:val="24"/>
          <w:szCs w:val="24"/>
          <w:lang w:val="en-US" w:eastAsia="en-US"/>
        </w:rPr>
        <w:t>Americii</w:t>
      </w:r>
      <w:proofErr w:type="spellEnd"/>
      <w:r w:rsidRPr="00526E6C">
        <w:rPr>
          <w:rFonts w:ascii="Times New Roman CYR" w:hAnsi="Times New Roman CYR" w:cs="Times New Roman CYR"/>
          <w:color w:val="000000"/>
          <w:kern w:val="24"/>
          <w:sz w:val="24"/>
          <w:szCs w:val="24"/>
          <w:lang w:val="en-US" w:eastAsia="en-US"/>
        </w:rPr>
        <w:t xml:space="preserve"> – </w:t>
      </w:r>
      <w:r>
        <w:rPr>
          <w:color w:val="000000"/>
          <w:kern w:val="24"/>
          <w:sz w:val="24"/>
          <w:szCs w:val="24"/>
          <w:lang w:eastAsia="en-US"/>
        </w:rPr>
        <w:t>76,2</w:t>
      </w:r>
      <w:r w:rsidRPr="00526E6C">
        <w:rPr>
          <w:rFonts w:ascii="Times New Roman CYR" w:hAnsi="Times New Roman CYR" w:cs="Times New Roman CYR"/>
          <w:color w:val="000000"/>
          <w:kern w:val="24"/>
          <w:sz w:val="24"/>
          <w:szCs w:val="24"/>
          <w:lang w:val="en-US" w:eastAsia="en-US"/>
        </w:rPr>
        <w:t xml:space="preserve"> mil. </w:t>
      </w:r>
      <w:proofErr w:type="spellStart"/>
      <w:r w:rsidRPr="00526E6C">
        <w:rPr>
          <w:rFonts w:ascii="Times New Roman CYR" w:hAnsi="Times New Roman CYR" w:cs="Times New Roman CYR"/>
          <w:color w:val="000000"/>
          <w:kern w:val="24"/>
          <w:sz w:val="24"/>
          <w:szCs w:val="24"/>
          <w:lang w:val="en-US" w:eastAsia="en-US"/>
        </w:rPr>
        <w:t>dolari</w:t>
      </w:r>
      <w:proofErr w:type="spellEnd"/>
      <w:r w:rsidRPr="00526E6C">
        <w:rPr>
          <w:rFonts w:ascii="Times New Roman CYR" w:hAnsi="Times New Roman CYR" w:cs="Times New Roman CYR"/>
          <w:color w:val="000000"/>
          <w:kern w:val="24"/>
          <w:sz w:val="24"/>
          <w:szCs w:val="24"/>
          <w:lang w:val="en-US" w:eastAsia="en-US"/>
        </w:rPr>
        <w:t xml:space="preserve"> (+</w:t>
      </w:r>
      <w:r>
        <w:rPr>
          <w:color w:val="000000"/>
          <w:kern w:val="24"/>
          <w:sz w:val="24"/>
          <w:szCs w:val="24"/>
          <w:lang w:eastAsia="en-US"/>
        </w:rPr>
        <w:t>8,6</w:t>
      </w:r>
      <w:r w:rsidRPr="00526E6C">
        <w:rPr>
          <w:rFonts w:ascii="Times New Roman CYR" w:hAnsi="Times New Roman CYR" w:cs="Times New Roman CYR"/>
          <w:color w:val="000000"/>
          <w:kern w:val="24"/>
          <w:sz w:val="24"/>
          <w:szCs w:val="24"/>
          <w:lang w:val="en-US" w:eastAsia="en-US"/>
        </w:rPr>
        <w:t xml:space="preserve">%). </w:t>
      </w:r>
    </w:p>
    <w:p w:rsidR="009925C8" w:rsidRDefault="009925C8" w:rsidP="009925C8">
      <w:pPr>
        <w:tabs>
          <w:tab w:val="left" w:pos="4130"/>
        </w:tabs>
        <w:jc w:val="both"/>
        <w:rPr>
          <w:b/>
          <w:i/>
          <w:color w:val="000000" w:themeColor="text1"/>
          <w:sz w:val="24"/>
          <w:szCs w:val="24"/>
          <w:lang w:val="x-none"/>
        </w:rPr>
      </w:pPr>
      <w:r w:rsidRPr="00E92CE8">
        <w:rPr>
          <w:b/>
          <w:i/>
          <w:color w:val="000000" w:themeColor="text1"/>
          <w:sz w:val="24"/>
          <w:szCs w:val="24"/>
          <w:lang w:val="x-none"/>
        </w:rPr>
        <w:t xml:space="preserve"> </w:t>
      </w:r>
    </w:p>
    <w:p w:rsidR="009925C8" w:rsidRPr="00E92CE8" w:rsidRDefault="009925C8" w:rsidP="009925C8">
      <w:pPr>
        <w:tabs>
          <w:tab w:val="left" w:pos="4130"/>
        </w:tabs>
        <w:jc w:val="both"/>
        <w:rPr>
          <w:color w:val="000000" w:themeColor="text1"/>
          <w:sz w:val="24"/>
          <w:szCs w:val="24"/>
          <w:lang w:val="x-none"/>
        </w:rPr>
      </w:pPr>
      <w:proofErr w:type="spellStart"/>
      <w:r w:rsidRPr="00E92CE8">
        <w:rPr>
          <w:b/>
          <w:i/>
          <w:color w:val="000000" w:themeColor="text1"/>
          <w:sz w:val="24"/>
          <w:szCs w:val="24"/>
          <w:lang w:val="x-none"/>
        </w:rPr>
        <w:t>Importurile</w:t>
      </w:r>
      <w:proofErr w:type="spellEnd"/>
      <w:r w:rsidRPr="00E92CE8">
        <w:rPr>
          <w:b/>
          <w:i/>
          <w:color w:val="000000" w:themeColor="text1"/>
          <w:sz w:val="24"/>
          <w:szCs w:val="24"/>
          <w:lang w:val="x-none"/>
        </w:rPr>
        <w:t xml:space="preserve"> </w:t>
      </w:r>
      <w:proofErr w:type="spellStart"/>
      <w:r w:rsidRPr="00E92CE8">
        <w:rPr>
          <w:b/>
          <w:i/>
          <w:color w:val="000000" w:themeColor="text1"/>
          <w:sz w:val="24"/>
          <w:szCs w:val="24"/>
          <w:lang w:val="x-none"/>
        </w:rPr>
        <w:t>pe</w:t>
      </w:r>
      <w:proofErr w:type="spellEnd"/>
      <w:r w:rsidRPr="00E92CE8">
        <w:rPr>
          <w:b/>
          <w:i/>
          <w:color w:val="000000" w:themeColor="text1"/>
          <w:sz w:val="24"/>
          <w:szCs w:val="24"/>
          <w:lang w:val="en-US"/>
        </w:rPr>
        <w:t xml:space="preserve"> </w:t>
      </w:r>
      <w:proofErr w:type="spellStart"/>
      <w:r w:rsidRPr="00E92CE8">
        <w:rPr>
          <w:b/>
          <w:i/>
          <w:color w:val="000000" w:themeColor="text1"/>
          <w:sz w:val="24"/>
          <w:szCs w:val="24"/>
          <w:lang w:val="en-US"/>
        </w:rPr>
        <w:t>grupe</w:t>
      </w:r>
      <w:proofErr w:type="spellEnd"/>
      <w:r w:rsidRPr="00E92CE8">
        <w:rPr>
          <w:b/>
          <w:i/>
          <w:color w:val="000000" w:themeColor="text1"/>
          <w:sz w:val="24"/>
          <w:szCs w:val="24"/>
          <w:lang w:val="en-US"/>
        </w:rPr>
        <w:t xml:space="preserve"> </w:t>
      </w:r>
      <w:r w:rsidRPr="00E92CE8">
        <w:rPr>
          <w:b/>
          <w:i/>
          <w:color w:val="000000" w:themeColor="text1"/>
          <w:sz w:val="24"/>
          <w:szCs w:val="24"/>
          <w:lang w:val="x-none"/>
        </w:rPr>
        <w:t xml:space="preserve">de </w:t>
      </w:r>
      <w:proofErr w:type="spellStart"/>
      <w:r w:rsidRPr="00E92CE8">
        <w:rPr>
          <w:b/>
          <w:i/>
          <w:color w:val="000000" w:themeColor="text1"/>
          <w:sz w:val="24"/>
          <w:szCs w:val="24"/>
          <w:lang w:val="x-none"/>
        </w:rPr>
        <w:t>mărfuri</w:t>
      </w:r>
      <w:proofErr w:type="spellEnd"/>
    </w:p>
    <w:p w:rsidR="009925C8" w:rsidRPr="00E92CE8" w:rsidRDefault="009925C8" w:rsidP="009925C8">
      <w:pPr>
        <w:tabs>
          <w:tab w:val="left" w:pos="4130"/>
        </w:tabs>
        <w:jc w:val="both"/>
        <w:rPr>
          <w:color w:val="000000" w:themeColor="text1"/>
          <w:sz w:val="24"/>
          <w:szCs w:val="24"/>
          <w:lang w:val="x-none"/>
        </w:rPr>
      </w:pPr>
    </w:p>
    <w:p w:rsidR="009925C8" w:rsidRPr="00023878" w:rsidRDefault="009925C8" w:rsidP="009925C8">
      <w:pPr>
        <w:tabs>
          <w:tab w:val="left" w:pos="4130"/>
        </w:tabs>
        <w:autoSpaceDE w:val="0"/>
        <w:autoSpaceDN w:val="0"/>
        <w:adjustRightInd w:val="0"/>
        <w:jc w:val="both"/>
        <w:rPr>
          <w:rFonts w:ascii="Times New Roman CYR" w:hAnsi="Times New Roman CYR" w:cs="Times New Roman CYR"/>
          <w:color w:val="000000"/>
          <w:sz w:val="24"/>
          <w:szCs w:val="24"/>
          <w:u w:val="single"/>
          <w:lang w:val="en-US" w:eastAsia="en-US"/>
        </w:rPr>
      </w:pPr>
      <w:r>
        <w:rPr>
          <w:color w:val="000000"/>
          <w:sz w:val="24"/>
          <w:szCs w:val="24"/>
          <w:lang w:eastAsia="en-US"/>
        </w:rPr>
        <w:t xml:space="preserve">În 2018, comparativ cu 2017, au sporit importurile de: petrol, produse petroliere și produse înrudite; mașini și aparate electrice și părți ale acestora; mașini și aparate specializate pentru industriile specifice; mașini și aparate industriale cu aplicații generale; aparate </w:t>
      </w:r>
      <w:r w:rsidR="0009669B">
        <w:rPr>
          <w:color w:val="000000"/>
          <w:sz w:val="24"/>
          <w:szCs w:val="24"/>
          <w:lang w:eastAsia="en-US"/>
        </w:rPr>
        <w:t>ș</w:t>
      </w:r>
      <w:r>
        <w:rPr>
          <w:color w:val="000000"/>
          <w:sz w:val="24"/>
          <w:szCs w:val="24"/>
          <w:lang w:eastAsia="en-US"/>
        </w:rPr>
        <w:t>i echipamente de telecomunica</w:t>
      </w:r>
      <w:r w:rsidR="0009669B">
        <w:rPr>
          <w:color w:val="000000"/>
          <w:sz w:val="24"/>
          <w:szCs w:val="24"/>
          <w:lang w:eastAsia="en-US"/>
        </w:rPr>
        <w:t>ț</w:t>
      </w:r>
      <w:r>
        <w:rPr>
          <w:color w:val="000000"/>
          <w:sz w:val="24"/>
          <w:szCs w:val="24"/>
          <w:lang w:eastAsia="en-US"/>
        </w:rPr>
        <w:t xml:space="preserve">ii </w:t>
      </w:r>
      <w:r w:rsidR="0009669B">
        <w:rPr>
          <w:color w:val="000000"/>
          <w:sz w:val="24"/>
          <w:szCs w:val="24"/>
          <w:lang w:eastAsia="en-US"/>
        </w:rPr>
        <w:t>ș</w:t>
      </w:r>
      <w:r>
        <w:rPr>
          <w:color w:val="000000"/>
          <w:sz w:val="24"/>
          <w:szCs w:val="24"/>
          <w:lang w:eastAsia="en-US"/>
        </w:rPr>
        <w:t>i pentru înregistrarea și reproducerea sunetului și imaginii</w:t>
      </w:r>
      <w:r>
        <w:rPr>
          <w:color w:val="000000"/>
          <w:sz w:val="24"/>
          <w:szCs w:val="24"/>
          <w:lang w:val="en-US" w:eastAsia="en-US"/>
        </w:rPr>
        <w:t xml:space="preserve">; </w:t>
      </w:r>
      <w:r>
        <w:rPr>
          <w:color w:val="000000"/>
          <w:sz w:val="24"/>
          <w:szCs w:val="24"/>
          <w:lang w:eastAsia="en-US"/>
        </w:rPr>
        <w:t>părți și piese detașate ale acestor mașini, vehicule rutiere; gaz și produse industriale obținute din gaz;</w:t>
      </w:r>
      <w:r>
        <w:rPr>
          <w:color w:val="000000"/>
          <w:sz w:val="24"/>
          <w:szCs w:val="24"/>
          <w:lang w:val="en-US" w:eastAsia="en-US"/>
        </w:rPr>
        <w:t xml:space="preserve"> </w:t>
      </w:r>
      <w:r>
        <w:rPr>
          <w:color w:val="000000"/>
          <w:sz w:val="24"/>
          <w:szCs w:val="24"/>
          <w:lang w:eastAsia="en-US"/>
        </w:rPr>
        <w:t>îngrășăminte minerale sau chimice</w:t>
      </w:r>
      <w:r w:rsidR="0009669B">
        <w:rPr>
          <w:color w:val="000000"/>
          <w:sz w:val="24"/>
          <w:szCs w:val="24"/>
          <w:lang w:eastAsia="en-US"/>
        </w:rPr>
        <w:t>;</w:t>
      </w:r>
      <w:r>
        <w:rPr>
          <w:color w:val="000000"/>
          <w:sz w:val="24"/>
          <w:szCs w:val="24"/>
          <w:lang w:eastAsia="en-US"/>
        </w:rPr>
        <w:t xml:space="preserve"> legume și fructe etc. </w:t>
      </w:r>
    </w:p>
    <w:p w:rsidR="009925C8" w:rsidRDefault="009925C8" w:rsidP="009925C8">
      <w:pPr>
        <w:tabs>
          <w:tab w:val="left" w:pos="4130"/>
        </w:tabs>
        <w:autoSpaceDE w:val="0"/>
        <w:autoSpaceDN w:val="0"/>
        <w:adjustRightInd w:val="0"/>
        <w:jc w:val="both"/>
        <w:rPr>
          <w:rFonts w:ascii="Times New Roman CYR" w:hAnsi="Times New Roman CYR" w:cs="Times New Roman CYR"/>
          <w:color w:val="000000"/>
          <w:sz w:val="24"/>
          <w:szCs w:val="24"/>
          <w:u w:val="single"/>
          <w:lang w:eastAsia="en-US"/>
        </w:rPr>
      </w:pPr>
    </w:p>
    <w:p w:rsidR="00B75764" w:rsidRPr="00B75764" w:rsidRDefault="00B75764" w:rsidP="00B75764">
      <w:pPr>
        <w:tabs>
          <w:tab w:val="left" w:pos="4130"/>
        </w:tabs>
        <w:autoSpaceDE w:val="0"/>
        <w:autoSpaceDN w:val="0"/>
        <w:adjustRightInd w:val="0"/>
        <w:jc w:val="both"/>
        <w:rPr>
          <w:color w:val="000000"/>
          <w:sz w:val="24"/>
          <w:szCs w:val="24"/>
        </w:rPr>
      </w:pPr>
      <w:r w:rsidRPr="00B75764">
        <w:rPr>
          <w:color w:val="000000"/>
          <w:sz w:val="24"/>
          <w:szCs w:val="24"/>
        </w:rPr>
        <w:t>Ritmurile înalte de creștere a importurilor se datorează majorării volum</w:t>
      </w:r>
      <w:r w:rsidRPr="00B75764">
        <w:rPr>
          <w:color w:val="000000"/>
          <w:sz w:val="24"/>
          <w:szCs w:val="24"/>
        </w:rPr>
        <w:t>ului de investiții, în special în mașini, aparate electrice, produse</w:t>
      </w:r>
      <w:r w:rsidRPr="00B75764">
        <w:rPr>
          <w:color w:val="000000"/>
          <w:sz w:val="24"/>
          <w:szCs w:val="24"/>
        </w:rPr>
        <w:t xml:space="preserve"> minerale, necesare pentru aprovizionarea sectorului de afaceri și funcționarea economiei. De asemenea, la sporirea importurilor a contribuit cererea crescândă a populației pentru bunurile importate, condiționată de creșterea veniturilor, majorarea salariului mediu brut și transferurilor de peste hotare.</w:t>
      </w:r>
    </w:p>
    <w:p w:rsidR="00B75764" w:rsidRPr="007B5DE1" w:rsidRDefault="00B75764" w:rsidP="009925C8">
      <w:pPr>
        <w:tabs>
          <w:tab w:val="left" w:pos="4130"/>
        </w:tabs>
        <w:autoSpaceDE w:val="0"/>
        <w:autoSpaceDN w:val="0"/>
        <w:adjustRightInd w:val="0"/>
        <w:jc w:val="both"/>
        <w:rPr>
          <w:rFonts w:ascii="Times New Roman CYR" w:hAnsi="Times New Roman CYR" w:cs="Times New Roman CYR"/>
          <w:color w:val="000000"/>
          <w:sz w:val="24"/>
          <w:szCs w:val="24"/>
          <w:u w:val="single"/>
          <w:lang w:eastAsia="en-US"/>
        </w:rPr>
      </w:pPr>
    </w:p>
    <w:p w:rsidR="009925C8" w:rsidRPr="007B5DE1" w:rsidRDefault="009925C8" w:rsidP="009925C8">
      <w:pPr>
        <w:tabs>
          <w:tab w:val="left" w:pos="4130"/>
        </w:tabs>
        <w:autoSpaceDE w:val="0"/>
        <w:autoSpaceDN w:val="0"/>
        <w:adjustRightInd w:val="0"/>
        <w:jc w:val="both"/>
        <w:rPr>
          <w:rFonts w:ascii="Times New Roman CYR" w:hAnsi="Times New Roman CYR" w:cs="Times New Roman CYR"/>
          <w:color w:val="000000"/>
          <w:sz w:val="24"/>
          <w:szCs w:val="24"/>
          <w:u w:val="single"/>
          <w:lang w:eastAsia="en-US"/>
        </w:rPr>
      </w:pPr>
      <w:r>
        <w:rPr>
          <w:color w:val="000000"/>
          <w:sz w:val="24"/>
          <w:szCs w:val="24"/>
          <w:lang w:eastAsia="en-US"/>
        </w:rPr>
        <w:lastRenderedPageBreak/>
        <w:t xml:space="preserve">Totodată, au scăzut importurile de energie electrică, zahăr, preparate pe bază de zahăr, miere; articole de voiaj, sacoșe și similare; ulei, grăsimi și ceruri de origine animală sau vegetală, grăsimi și uleiuri vegetale fixate, brute, rafinate sau fracționate; cărbune, cocs și brichete, etc. </w:t>
      </w:r>
    </w:p>
    <w:p w:rsidR="009925C8" w:rsidRPr="00FA10FC" w:rsidRDefault="009925C8" w:rsidP="009925C8">
      <w:pPr>
        <w:tabs>
          <w:tab w:val="left" w:pos="4130"/>
        </w:tabs>
        <w:jc w:val="center"/>
        <w:rPr>
          <w:b/>
          <w:i/>
          <w:sz w:val="24"/>
          <w:szCs w:val="24"/>
        </w:rPr>
      </w:pPr>
      <w:r w:rsidRPr="00FA10FC">
        <w:rPr>
          <w:b/>
          <w:i/>
          <w:sz w:val="24"/>
          <w:szCs w:val="24"/>
        </w:rPr>
        <w:t>Evoluția importurilor de mărfuri în anii 2017-2018</w:t>
      </w:r>
    </w:p>
    <w:p w:rsidR="009925C8" w:rsidRPr="00FA10FC" w:rsidRDefault="009925C8" w:rsidP="009925C8">
      <w:pPr>
        <w:tabs>
          <w:tab w:val="left" w:pos="4130"/>
        </w:tabs>
        <w:jc w:val="center"/>
        <w:rPr>
          <w:i/>
          <w:sz w:val="24"/>
          <w:szCs w:val="24"/>
        </w:rPr>
      </w:pPr>
      <w:r w:rsidRPr="00FA10FC">
        <w:rPr>
          <w:i/>
          <w:sz w:val="24"/>
          <w:szCs w:val="24"/>
        </w:rPr>
        <w:t>mil. dolari SUA</w:t>
      </w:r>
    </w:p>
    <w:p w:rsidR="009925C8" w:rsidRPr="00FA10FC" w:rsidRDefault="009925C8" w:rsidP="009925C8">
      <w:pPr>
        <w:widowControl w:val="0"/>
        <w:tabs>
          <w:tab w:val="num" w:pos="1080"/>
          <w:tab w:val="left" w:pos="4130"/>
        </w:tabs>
        <w:outlineLvl w:val="0"/>
        <w:rPr>
          <w:i/>
        </w:rPr>
      </w:pPr>
      <w:r w:rsidRPr="00FA10FC">
        <w:rPr>
          <w:noProof/>
          <w:sz w:val="24"/>
          <w:szCs w:val="24"/>
          <w:lang w:val="en-US" w:eastAsia="en-US"/>
        </w:rPr>
        <w:drawing>
          <wp:inline distT="0" distB="0" distL="0" distR="0" wp14:anchorId="675F888F" wp14:editId="5706C3CB">
            <wp:extent cx="6143625" cy="2762250"/>
            <wp:effectExtent l="0" t="0" r="0" b="0"/>
            <wp:docPr id="59" name="Chart 5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FA10FC">
        <w:rPr>
          <w:i/>
        </w:rPr>
        <w:t xml:space="preserve">          </w:t>
      </w:r>
    </w:p>
    <w:p w:rsidR="009925C8" w:rsidRPr="00FA10FC" w:rsidRDefault="009925C8" w:rsidP="009925C8">
      <w:pPr>
        <w:widowControl w:val="0"/>
        <w:tabs>
          <w:tab w:val="num" w:pos="1080"/>
          <w:tab w:val="left" w:pos="4130"/>
        </w:tabs>
        <w:outlineLvl w:val="0"/>
        <w:rPr>
          <w:i/>
          <w:sz w:val="16"/>
          <w:szCs w:val="16"/>
        </w:rPr>
      </w:pPr>
      <w:r w:rsidRPr="00FA10FC">
        <w:rPr>
          <w:i/>
        </w:rPr>
        <w:t xml:space="preserve">          Sursă: Biroul Național de Statistică</w:t>
      </w:r>
    </w:p>
    <w:p w:rsidR="009925C8" w:rsidRPr="0016787E" w:rsidRDefault="009925C8" w:rsidP="009925C8">
      <w:pPr>
        <w:widowControl w:val="0"/>
        <w:tabs>
          <w:tab w:val="num" w:pos="1080"/>
          <w:tab w:val="left" w:pos="4130"/>
        </w:tabs>
        <w:jc w:val="both"/>
        <w:outlineLvl w:val="0"/>
        <w:rPr>
          <w:bCs/>
          <w:color w:val="942B9D"/>
          <w:sz w:val="24"/>
          <w:szCs w:val="24"/>
        </w:rPr>
      </w:pPr>
    </w:p>
    <w:p w:rsidR="009925C8" w:rsidRPr="00E92CE8" w:rsidRDefault="009925C8" w:rsidP="009925C8">
      <w:pPr>
        <w:widowControl w:val="0"/>
        <w:tabs>
          <w:tab w:val="num" w:pos="1080"/>
          <w:tab w:val="left" w:pos="4130"/>
        </w:tabs>
        <w:jc w:val="both"/>
        <w:outlineLvl w:val="0"/>
        <w:rPr>
          <w:bCs/>
          <w:color w:val="000000"/>
          <w:sz w:val="24"/>
          <w:szCs w:val="24"/>
        </w:rPr>
      </w:pPr>
      <w:r w:rsidRPr="00E92CE8">
        <w:rPr>
          <w:bCs/>
          <w:color w:val="000000"/>
          <w:sz w:val="24"/>
          <w:szCs w:val="24"/>
        </w:rPr>
        <w:t xml:space="preserve">Comparativ cu  2017, volumul importat de </w:t>
      </w:r>
      <w:r w:rsidRPr="00D424F5">
        <w:rPr>
          <w:bCs/>
          <w:i/>
          <w:color w:val="000000"/>
          <w:sz w:val="24"/>
          <w:szCs w:val="24"/>
        </w:rPr>
        <w:t>mașini și echipamente pentru transport</w:t>
      </w:r>
      <w:r w:rsidRPr="00E92CE8">
        <w:rPr>
          <w:bCs/>
          <w:color w:val="000000"/>
          <w:sz w:val="24"/>
          <w:szCs w:val="24"/>
        </w:rPr>
        <w:t xml:space="preserve"> a crescut cu 28,5%, însumând 1387,9 mil. dolari și o pondere de 24%  în volumul total al importurilor. Este de menționat, că ponderi importante în cadrul acestei secțiuni de mărfuri au deținut importurile de mașini și aparate electrice și părți ale acestora – 7,5%, în valoare de 436,1 mil. dolari (majorându-se cu 35% comparativ cu aceeași perioadă a anului precedent), vehicule rutiere – 5,4%, însumând </w:t>
      </w:r>
      <w:r w:rsidR="006C3E64">
        <w:rPr>
          <w:bCs/>
          <w:color w:val="000000"/>
          <w:sz w:val="24"/>
          <w:szCs w:val="24"/>
        </w:rPr>
        <w:t>310,1</w:t>
      </w:r>
      <w:r w:rsidRPr="00E92CE8">
        <w:rPr>
          <w:bCs/>
          <w:color w:val="000000"/>
          <w:sz w:val="24"/>
          <w:szCs w:val="24"/>
        </w:rPr>
        <w:t xml:space="preserve"> mil. dolari (+22,6% comparativ cu aceeași perioadă a anului precedent), mașini și aparate specializate pentru industriile specifice – 3%, în valoare de 132,6 mil. dolari, mașini și aparate industriale cu aplicații generale – 3%, însumând 174,4 mil. dolari, aparate și echipamente de telecomunicații </w:t>
      </w:r>
      <w:r w:rsidR="006C3E64">
        <w:rPr>
          <w:bCs/>
          <w:color w:val="000000"/>
          <w:sz w:val="24"/>
          <w:szCs w:val="24"/>
        </w:rPr>
        <w:t>– 2,7</w:t>
      </w:r>
      <w:r w:rsidRPr="00E92CE8">
        <w:rPr>
          <w:bCs/>
          <w:color w:val="000000"/>
          <w:sz w:val="24"/>
          <w:szCs w:val="24"/>
        </w:rPr>
        <w:t>%, în valoare de 159,4 mil. dolari.</w:t>
      </w:r>
    </w:p>
    <w:p w:rsidR="009925C8" w:rsidRPr="00E92CE8" w:rsidRDefault="009925C8" w:rsidP="009925C8">
      <w:pPr>
        <w:widowControl w:val="0"/>
        <w:tabs>
          <w:tab w:val="num" w:pos="1080"/>
          <w:tab w:val="left" w:pos="4130"/>
        </w:tabs>
        <w:jc w:val="both"/>
        <w:outlineLvl w:val="0"/>
        <w:rPr>
          <w:bCs/>
          <w:color w:val="000000"/>
          <w:sz w:val="24"/>
          <w:szCs w:val="24"/>
        </w:rPr>
      </w:pPr>
    </w:p>
    <w:p w:rsidR="009925C8" w:rsidRPr="00E92CE8" w:rsidRDefault="009925C8" w:rsidP="009925C8">
      <w:pPr>
        <w:widowControl w:val="0"/>
        <w:tabs>
          <w:tab w:val="num" w:pos="1080"/>
          <w:tab w:val="left" w:pos="4130"/>
        </w:tabs>
        <w:jc w:val="both"/>
        <w:outlineLvl w:val="0"/>
        <w:rPr>
          <w:bCs/>
          <w:color w:val="000000"/>
          <w:sz w:val="24"/>
          <w:szCs w:val="24"/>
        </w:rPr>
      </w:pPr>
      <w:r w:rsidRPr="00D424F5">
        <w:rPr>
          <w:bCs/>
          <w:i/>
          <w:color w:val="000000"/>
          <w:sz w:val="24"/>
          <w:szCs w:val="24"/>
        </w:rPr>
        <w:t xml:space="preserve">Mărfuri manufacturate, clasificate mai ales după materia primă </w:t>
      </w:r>
      <w:r w:rsidRPr="00E92CE8">
        <w:rPr>
          <w:bCs/>
          <w:color w:val="000000"/>
          <w:sz w:val="24"/>
          <w:szCs w:val="24"/>
        </w:rPr>
        <w:t>au fost importate în sumă de 1142,7 mil. dolari (cu 15% mai mult), iar ponderea acestor mărfuri în total importuri a constituit 19,8%. În cadrul acestei secțiuni de mărfuri ponderi preponderente au avut importurile de fire, țesături și articole textile – 5,12% din total importuri, în valoare de 295,5 mil. dolari, articole prelucrate din metal – 2,9%, în valoare de 166,1 mil. dolari, fier și oțel – 2,</w:t>
      </w:r>
      <w:r w:rsidR="006C3E64">
        <w:rPr>
          <w:bCs/>
          <w:color w:val="000000"/>
          <w:sz w:val="24"/>
          <w:szCs w:val="24"/>
        </w:rPr>
        <w:t>3</w:t>
      </w:r>
      <w:r w:rsidRPr="00E92CE8">
        <w:rPr>
          <w:bCs/>
          <w:color w:val="000000"/>
          <w:sz w:val="24"/>
          <w:szCs w:val="24"/>
        </w:rPr>
        <w:t>%, în valoare de 134,6 mil. dolari,  articole din minerale nemetalice – 2,2%, în valoare de 128,2 mil. dolari, metale neferoase – 1,9%, în valoare de 106,6 mil. dolari, hârtie, carton și articole din pastă de celuloză  - 1,7%, în valoare de 100,7 mil. dolari.</w:t>
      </w:r>
    </w:p>
    <w:p w:rsidR="009925C8" w:rsidRPr="00E92CE8" w:rsidRDefault="009925C8" w:rsidP="009925C8">
      <w:pPr>
        <w:widowControl w:val="0"/>
        <w:tabs>
          <w:tab w:val="num" w:pos="1080"/>
          <w:tab w:val="left" w:pos="4130"/>
        </w:tabs>
        <w:jc w:val="both"/>
        <w:outlineLvl w:val="0"/>
        <w:rPr>
          <w:bCs/>
          <w:color w:val="000000"/>
          <w:sz w:val="24"/>
          <w:szCs w:val="24"/>
        </w:rPr>
      </w:pPr>
    </w:p>
    <w:p w:rsidR="009925C8" w:rsidRDefault="009925C8" w:rsidP="009925C8">
      <w:pPr>
        <w:widowControl w:val="0"/>
        <w:tabs>
          <w:tab w:val="num" w:pos="1080"/>
          <w:tab w:val="left" w:pos="4130"/>
        </w:tabs>
        <w:jc w:val="both"/>
        <w:outlineLvl w:val="0"/>
        <w:rPr>
          <w:bCs/>
          <w:color w:val="000000"/>
          <w:sz w:val="24"/>
          <w:szCs w:val="24"/>
        </w:rPr>
      </w:pPr>
      <w:r w:rsidRPr="00E92CE8">
        <w:rPr>
          <w:bCs/>
          <w:color w:val="000000"/>
          <w:sz w:val="24"/>
          <w:szCs w:val="24"/>
        </w:rPr>
        <w:t xml:space="preserve">Importurile de </w:t>
      </w:r>
      <w:r w:rsidRPr="00D424F5">
        <w:rPr>
          <w:bCs/>
          <w:i/>
          <w:color w:val="000000"/>
          <w:sz w:val="24"/>
          <w:szCs w:val="24"/>
        </w:rPr>
        <w:t>combustibili minerali, lubrifianți și materiale derivate</w:t>
      </w:r>
      <w:r w:rsidRPr="00E92CE8">
        <w:rPr>
          <w:bCs/>
          <w:color w:val="000000"/>
          <w:sz w:val="24"/>
          <w:szCs w:val="24"/>
        </w:rPr>
        <w:t xml:space="preserve"> au deținut o pondere de 17,1% în total importuri. Volumul acestor importuri în 2018 a însumat 990 mil. dolari și s-a majorat cu 30,2% față de 2017. În cadrul acestei secțiuni de mărfuri, petrolul și produsele petroliere dețin cea mai impunătoare pondere în volumul total al importului – 11%, însumând 632,6 mil. dolari, iar gazul și produsele industriale obținute din gaz – 4,9%, însumând 284 mil. dolari.</w:t>
      </w:r>
    </w:p>
    <w:p w:rsidR="009925C8" w:rsidRPr="00E92CE8" w:rsidRDefault="009925C8" w:rsidP="009925C8">
      <w:pPr>
        <w:widowControl w:val="0"/>
        <w:tabs>
          <w:tab w:val="num" w:pos="1080"/>
          <w:tab w:val="left" w:pos="4130"/>
        </w:tabs>
        <w:jc w:val="both"/>
        <w:outlineLvl w:val="0"/>
        <w:rPr>
          <w:bCs/>
          <w:color w:val="000000"/>
          <w:sz w:val="24"/>
          <w:szCs w:val="24"/>
        </w:rPr>
      </w:pPr>
    </w:p>
    <w:p w:rsidR="009925C8" w:rsidRPr="00E92CE8" w:rsidRDefault="009925C8" w:rsidP="00D424F5">
      <w:pPr>
        <w:jc w:val="both"/>
        <w:rPr>
          <w:color w:val="000000"/>
          <w:sz w:val="24"/>
          <w:szCs w:val="24"/>
        </w:rPr>
      </w:pPr>
      <w:r w:rsidRPr="00E92CE8">
        <w:rPr>
          <w:color w:val="000000"/>
          <w:sz w:val="24"/>
          <w:szCs w:val="24"/>
        </w:rPr>
        <w:t xml:space="preserve">Volumul importului </w:t>
      </w:r>
      <w:r w:rsidRPr="00D424F5">
        <w:rPr>
          <w:i/>
          <w:color w:val="000000"/>
          <w:sz w:val="24"/>
          <w:szCs w:val="24"/>
        </w:rPr>
        <w:t>produselor chimice și produselor derivate</w:t>
      </w:r>
      <w:r w:rsidRPr="00E92CE8">
        <w:rPr>
          <w:color w:val="000000"/>
          <w:sz w:val="24"/>
          <w:szCs w:val="24"/>
        </w:rPr>
        <w:t xml:space="preserve"> a însumat 814 mil. dolari, fiind în creștere cu 13,3%. Ponderea acestui import în volumul total a fost de 14,1%. Ponderi importante în această secțiune de mărfuri o dețin produsele medicinale și farmaceutice – 4,1% din total importuri, în valoare de 239,2 mil. dolari, alte materiale și produse chimice – 2,2% din total, în valoare de 128,1 mil. dolari, uleiurile esențiale, </w:t>
      </w:r>
      <w:proofErr w:type="spellStart"/>
      <w:r w:rsidRPr="00E92CE8">
        <w:rPr>
          <w:color w:val="000000"/>
          <w:sz w:val="24"/>
          <w:szCs w:val="24"/>
        </w:rPr>
        <w:t>rezinoidele</w:t>
      </w:r>
      <w:proofErr w:type="spellEnd"/>
      <w:r w:rsidRPr="00E92CE8">
        <w:rPr>
          <w:color w:val="000000"/>
          <w:sz w:val="24"/>
          <w:szCs w:val="24"/>
        </w:rPr>
        <w:t xml:space="preserve"> și substanțele parfumate – 2% din total, în valoare de 113,5 mil. dolari, materialele plastice prelucrate – 2% din total, în valoare de 112,2 mil. dolari, îngrășăminte minerale sau chimice – 1,5% din total, în valoare de 86,1 mil. dolari.</w:t>
      </w:r>
    </w:p>
    <w:p w:rsidR="009925C8" w:rsidRPr="00E92CE8" w:rsidRDefault="009925C8" w:rsidP="009925C8">
      <w:pPr>
        <w:rPr>
          <w:color w:val="000000"/>
          <w:sz w:val="24"/>
          <w:szCs w:val="24"/>
        </w:rPr>
      </w:pPr>
    </w:p>
    <w:p w:rsidR="009925C8" w:rsidRPr="00E92CE8" w:rsidRDefault="009925C8" w:rsidP="00D424F5">
      <w:pPr>
        <w:jc w:val="both"/>
        <w:rPr>
          <w:color w:val="000000"/>
          <w:sz w:val="24"/>
          <w:szCs w:val="24"/>
        </w:rPr>
      </w:pPr>
      <w:r w:rsidRPr="00E92CE8">
        <w:rPr>
          <w:color w:val="000000"/>
          <w:sz w:val="24"/>
          <w:szCs w:val="24"/>
        </w:rPr>
        <w:t xml:space="preserve">Volumul importului de </w:t>
      </w:r>
      <w:r w:rsidRPr="00D424F5">
        <w:rPr>
          <w:i/>
          <w:color w:val="000000"/>
          <w:sz w:val="24"/>
          <w:szCs w:val="24"/>
        </w:rPr>
        <w:t>articole manufacturate diverse</w:t>
      </w:r>
      <w:r w:rsidRPr="00E92CE8">
        <w:rPr>
          <w:color w:val="000000"/>
          <w:sz w:val="24"/>
          <w:szCs w:val="24"/>
        </w:rPr>
        <w:t xml:space="preserve"> în 2018 a însumat 589,3 mil. dolari, cu 10,2% mai mult față de volumul importat în 2017. Ponderea acestei grupe de mărfuri în total import a fost de 10,2%. În cadrul acestei secțiuni de mărfuri ponderi preponderente au avut importurile de îmbrăcăminte și accesorii – 2,5% din total importuri, în valoare de 141,3 mil. dolari. precum și alte articole diverse – 3,9% din total importuri, în valoare de 224,2 mil. dolari. </w:t>
      </w:r>
    </w:p>
    <w:p w:rsidR="009925C8" w:rsidRPr="00E92CE8" w:rsidRDefault="009925C8" w:rsidP="00D424F5">
      <w:pPr>
        <w:jc w:val="both"/>
        <w:rPr>
          <w:color w:val="000000"/>
          <w:sz w:val="24"/>
          <w:szCs w:val="24"/>
        </w:rPr>
      </w:pPr>
    </w:p>
    <w:p w:rsidR="009925C8" w:rsidRDefault="009925C8" w:rsidP="00D424F5">
      <w:pPr>
        <w:jc w:val="both"/>
        <w:rPr>
          <w:color w:val="000000"/>
          <w:sz w:val="24"/>
          <w:szCs w:val="24"/>
        </w:rPr>
      </w:pPr>
      <w:r w:rsidRPr="00E92CE8">
        <w:rPr>
          <w:color w:val="000000"/>
          <w:sz w:val="24"/>
          <w:szCs w:val="24"/>
        </w:rPr>
        <w:t xml:space="preserve">Importurile de </w:t>
      </w:r>
      <w:r w:rsidRPr="00D424F5">
        <w:rPr>
          <w:i/>
          <w:color w:val="000000"/>
          <w:sz w:val="24"/>
          <w:szCs w:val="24"/>
        </w:rPr>
        <w:t>produse alimentare și animale vii</w:t>
      </w:r>
      <w:r w:rsidRPr="00E92CE8">
        <w:rPr>
          <w:color w:val="000000"/>
          <w:sz w:val="24"/>
          <w:szCs w:val="24"/>
        </w:rPr>
        <w:t xml:space="preserve"> în 2018 au însumat 561,3 mil. dolari, fiind în creștere cu 10% comparativ cu 2017. Ponderea acestei grupe de mărfuri în total importuri a fost de 9,7%. În cadrul acestei grupe de mărfuri preponderente rămân legumele și fructele, cu 2,6% din total importuri, în valoare de 149,6 mil. dolari; cerealele și preparatele pe bază de cereale – 1,3% din total, însumând 73,8 mil. dolari, produse și pr</w:t>
      </w:r>
      <w:r w:rsidR="002E6A39">
        <w:rPr>
          <w:color w:val="000000"/>
          <w:sz w:val="24"/>
          <w:szCs w:val="24"/>
        </w:rPr>
        <w:t>eparate alimentare diverse – 1,3</w:t>
      </w:r>
      <w:r w:rsidRPr="00E92CE8">
        <w:rPr>
          <w:color w:val="000000"/>
          <w:sz w:val="24"/>
          <w:szCs w:val="24"/>
        </w:rPr>
        <w:t>% din total, însumând 72,9 mil. dolari.</w:t>
      </w:r>
    </w:p>
    <w:p w:rsidR="009925C8" w:rsidRPr="00E92CE8" w:rsidRDefault="009925C8" w:rsidP="00D424F5">
      <w:pPr>
        <w:jc w:val="both"/>
        <w:rPr>
          <w:color w:val="C00000"/>
        </w:rPr>
      </w:pPr>
    </w:p>
    <w:p w:rsidR="009925C8" w:rsidRPr="00526E6C" w:rsidRDefault="009925C8" w:rsidP="00D424F5">
      <w:pPr>
        <w:tabs>
          <w:tab w:val="left" w:pos="4130"/>
        </w:tabs>
        <w:autoSpaceDE w:val="0"/>
        <w:autoSpaceDN w:val="0"/>
        <w:adjustRightInd w:val="0"/>
        <w:jc w:val="both"/>
        <w:rPr>
          <w:rFonts w:ascii="Times New Roman CYR" w:hAnsi="Times New Roman CYR" w:cs="Times New Roman CYR"/>
          <w:sz w:val="24"/>
          <w:szCs w:val="24"/>
          <w:u w:val="single"/>
          <w:lang w:val="en-US" w:eastAsia="en-US"/>
        </w:rPr>
      </w:pPr>
      <w:r>
        <w:rPr>
          <w:rFonts w:ascii="Times New Roman CYR" w:hAnsi="Times New Roman CYR" w:cs="Times New Roman CYR"/>
          <w:b/>
          <w:bCs/>
          <w:i/>
          <w:iCs/>
          <w:sz w:val="24"/>
          <w:szCs w:val="24"/>
          <w:lang w:eastAsia="en-US"/>
        </w:rPr>
        <w:t>Persoanele fizice</w:t>
      </w:r>
      <w:r>
        <w:rPr>
          <w:sz w:val="24"/>
          <w:szCs w:val="24"/>
          <w:lang w:eastAsia="en-US"/>
        </w:rPr>
        <w:t xml:space="preserve"> au importat </w:t>
      </w:r>
      <w:r>
        <w:rPr>
          <w:color w:val="000000"/>
          <w:kern w:val="24"/>
          <w:sz w:val="24"/>
          <w:szCs w:val="24"/>
          <w:lang w:eastAsia="en-US"/>
        </w:rPr>
        <w:t xml:space="preserve">în </w:t>
      </w:r>
      <w:r>
        <w:rPr>
          <w:sz w:val="24"/>
          <w:szCs w:val="24"/>
          <w:lang w:eastAsia="en-US"/>
        </w:rPr>
        <w:t>2018 mărfuri și produse în valoare de 184,0 mil. dolari, cu 5,3% mai puțin decât în aceeași perioadă a anului 2017. Diminuarea importurilor a fost determinată de descreșterea livrărilor de autoturisme și autovehicule (-9,6%), cărora le-au revenit 81,0% din importurile realizat</w:t>
      </w:r>
      <w:r w:rsidRPr="00526E6C">
        <w:rPr>
          <w:rFonts w:ascii="Times New Roman CYR" w:hAnsi="Times New Roman CYR" w:cs="Times New Roman CYR"/>
          <w:sz w:val="24"/>
          <w:szCs w:val="24"/>
          <w:lang w:val="en-US" w:eastAsia="en-US"/>
        </w:rPr>
        <w:t xml:space="preserve">e de </w:t>
      </w:r>
      <w:proofErr w:type="spellStart"/>
      <w:r w:rsidRPr="00526E6C">
        <w:rPr>
          <w:rFonts w:ascii="Times New Roman CYR" w:hAnsi="Times New Roman CYR" w:cs="Times New Roman CYR"/>
          <w:sz w:val="24"/>
          <w:szCs w:val="24"/>
          <w:lang w:val="en-US" w:eastAsia="en-US"/>
        </w:rPr>
        <w:t>persoanele</w:t>
      </w:r>
      <w:proofErr w:type="spellEnd"/>
      <w:r w:rsidRPr="00526E6C">
        <w:rPr>
          <w:rFonts w:ascii="Times New Roman CYR" w:hAnsi="Times New Roman CYR" w:cs="Times New Roman CYR"/>
          <w:sz w:val="24"/>
          <w:szCs w:val="24"/>
          <w:lang w:val="en-US" w:eastAsia="en-US"/>
        </w:rPr>
        <w:t xml:space="preserve"> </w:t>
      </w:r>
      <w:proofErr w:type="spellStart"/>
      <w:r w:rsidRPr="00526E6C">
        <w:rPr>
          <w:rFonts w:ascii="Times New Roman CYR" w:hAnsi="Times New Roman CYR" w:cs="Times New Roman CYR"/>
          <w:sz w:val="24"/>
          <w:szCs w:val="24"/>
          <w:lang w:val="en-US" w:eastAsia="en-US"/>
        </w:rPr>
        <w:t>fizice</w:t>
      </w:r>
      <w:proofErr w:type="spellEnd"/>
      <w:r w:rsidRPr="00526E6C">
        <w:rPr>
          <w:rFonts w:ascii="Times New Roman CYR" w:hAnsi="Times New Roman CYR" w:cs="Times New Roman CYR"/>
          <w:sz w:val="24"/>
          <w:szCs w:val="24"/>
          <w:lang w:val="en-US" w:eastAsia="en-US"/>
        </w:rPr>
        <w:t>.</w:t>
      </w:r>
    </w:p>
    <w:p w:rsidR="009925C8" w:rsidRPr="00E92CE8" w:rsidRDefault="009925C8" w:rsidP="00D424F5">
      <w:pPr>
        <w:jc w:val="both"/>
      </w:pPr>
    </w:p>
    <w:p w:rsidR="00F64632" w:rsidRPr="00667A84" w:rsidRDefault="00F64632" w:rsidP="00F64632">
      <w:pPr>
        <w:rPr>
          <w:u w:val="single"/>
        </w:rPr>
      </w:pPr>
    </w:p>
    <w:p w:rsidR="00F64632" w:rsidRPr="00F64632" w:rsidRDefault="00F64632" w:rsidP="00F64632">
      <w:pPr>
        <w:numPr>
          <w:ilvl w:val="0"/>
          <w:numId w:val="7"/>
        </w:numPr>
        <w:spacing w:after="160" w:line="259" w:lineRule="auto"/>
        <w:contextualSpacing/>
        <w:jc w:val="center"/>
        <w:rPr>
          <w:b/>
          <w:sz w:val="28"/>
          <w:szCs w:val="28"/>
        </w:rPr>
      </w:pPr>
      <w:r w:rsidRPr="00F64632">
        <w:rPr>
          <w:b/>
          <w:sz w:val="28"/>
          <w:szCs w:val="28"/>
        </w:rPr>
        <w:t>Sfera socială</w:t>
      </w:r>
    </w:p>
    <w:p w:rsidR="00F64632" w:rsidRPr="00667A84" w:rsidRDefault="00F64632" w:rsidP="00F64632">
      <w:pPr>
        <w:jc w:val="both"/>
        <w:rPr>
          <w:b/>
          <w:color w:val="000000" w:themeColor="text1"/>
          <w:sz w:val="24"/>
          <w:szCs w:val="24"/>
          <w:highlight w:val="yellow"/>
          <w:u w:val="single"/>
        </w:rPr>
      </w:pPr>
    </w:p>
    <w:p w:rsidR="00F64632" w:rsidRPr="00C32986" w:rsidRDefault="00F64632" w:rsidP="00F64632">
      <w:pPr>
        <w:jc w:val="both"/>
        <w:rPr>
          <w:bCs/>
          <w:color w:val="000000" w:themeColor="text1"/>
          <w:sz w:val="24"/>
          <w:szCs w:val="24"/>
          <w:shd w:val="clear" w:color="auto" w:fill="FFFFFF"/>
        </w:rPr>
      </w:pPr>
      <w:proofErr w:type="spellStart"/>
      <w:r w:rsidRPr="00C32986">
        <w:rPr>
          <w:b/>
          <w:bCs/>
          <w:color w:val="000000" w:themeColor="text1"/>
          <w:sz w:val="24"/>
          <w:szCs w:val="36"/>
        </w:rPr>
        <w:t>Cîştigul</w:t>
      </w:r>
      <w:proofErr w:type="spellEnd"/>
      <w:r w:rsidRPr="00C32986">
        <w:rPr>
          <w:b/>
          <w:bCs/>
          <w:color w:val="000000" w:themeColor="text1"/>
          <w:sz w:val="24"/>
          <w:szCs w:val="36"/>
        </w:rPr>
        <w:t xml:space="preserve"> </w:t>
      </w:r>
      <w:r w:rsidRPr="00C32986">
        <w:rPr>
          <w:b/>
          <w:bCs/>
          <w:color w:val="000000" w:themeColor="text1"/>
          <w:sz w:val="24"/>
          <w:szCs w:val="24"/>
        </w:rPr>
        <w:t xml:space="preserve">salarial mediu lunar brut </w:t>
      </w:r>
      <w:r w:rsidRPr="00C32986">
        <w:rPr>
          <w:bCs/>
          <w:color w:val="000000" w:themeColor="text1"/>
          <w:sz w:val="24"/>
          <w:szCs w:val="24"/>
        </w:rPr>
        <w:t xml:space="preserve">al unui salariat din economia naţională </w:t>
      </w:r>
      <w:r w:rsidRPr="00C32986">
        <w:rPr>
          <w:bCs/>
          <w:color w:val="000000" w:themeColor="text1"/>
          <w:sz w:val="24"/>
          <w:szCs w:val="36"/>
        </w:rPr>
        <w:t xml:space="preserve">în 2018 a constituit 6446,4 lei şi s-a majorat în termeni nominali cu 13,2% faţă de </w:t>
      </w:r>
      <w:r w:rsidR="00D424F5">
        <w:rPr>
          <w:bCs/>
          <w:color w:val="000000" w:themeColor="text1"/>
          <w:sz w:val="24"/>
          <w:szCs w:val="36"/>
        </w:rPr>
        <w:t>anul</w:t>
      </w:r>
      <w:r w:rsidRPr="00C32986">
        <w:rPr>
          <w:bCs/>
          <w:color w:val="000000" w:themeColor="text1"/>
          <w:sz w:val="24"/>
          <w:szCs w:val="36"/>
        </w:rPr>
        <w:t xml:space="preserve"> 2017. În termeni reali salariul s-a majorat cu 9,9</w:t>
      </w:r>
      <w:r w:rsidRPr="00C32986">
        <w:rPr>
          <w:bCs/>
          <w:color w:val="000000" w:themeColor="text1"/>
          <w:sz w:val="24"/>
          <w:szCs w:val="24"/>
          <w:shd w:val="clear" w:color="auto" w:fill="FFFFFF"/>
        </w:rPr>
        <w:t xml:space="preserve">%. În sfera bugetară </w:t>
      </w:r>
      <w:proofErr w:type="spellStart"/>
      <w:r w:rsidRPr="00C32986">
        <w:rPr>
          <w:bCs/>
          <w:color w:val="000000" w:themeColor="text1"/>
          <w:sz w:val="24"/>
          <w:szCs w:val="24"/>
          <w:shd w:val="clear" w:color="auto" w:fill="FFFFFF"/>
        </w:rPr>
        <w:t>cîştigul</w:t>
      </w:r>
      <w:proofErr w:type="spellEnd"/>
      <w:r w:rsidRPr="00C32986">
        <w:rPr>
          <w:bCs/>
          <w:color w:val="000000" w:themeColor="text1"/>
          <w:sz w:val="24"/>
          <w:szCs w:val="24"/>
          <w:shd w:val="clear" w:color="auto" w:fill="FFFFFF"/>
        </w:rPr>
        <w:t xml:space="preserve"> salarial mediu lunar a constituit </w:t>
      </w:r>
      <w:r>
        <w:rPr>
          <w:bCs/>
          <w:color w:val="000000" w:themeColor="text1"/>
          <w:sz w:val="24"/>
          <w:szCs w:val="24"/>
          <w:shd w:val="clear" w:color="auto" w:fill="FFFFFF"/>
        </w:rPr>
        <w:t>5675,1</w:t>
      </w:r>
      <w:r w:rsidRPr="00C32986">
        <w:rPr>
          <w:bCs/>
          <w:color w:val="000000" w:themeColor="text1"/>
          <w:sz w:val="24"/>
          <w:szCs w:val="24"/>
          <w:shd w:val="clear" w:color="auto" w:fill="FFFFFF"/>
        </w:rPr>
        <w:t xml:space="preserve"> lei, fiind în creștere cu </w:t>
      </w:r>
      <w:r>
        <w:rPr>
          <w:bCs/>
          <w:color w:val="000000" w:themeColor="text1"/>
          <w:sz w:val="24"/>
          <w:szCs w:val="24"/>
          <w:shd w:val="clear" w:color="auto" w:fill="FFFFFF"/>
        </w:rPr>
        <w:t>14,6</w:t>
      </w:r>
      <w:r w:rsidRPr="00C32986">
        <w:rPr>
          <w:bCs/>
          <w:color w:val="000000" w:themeColor="text1"/>
          <w:sz w:val="24"/>
          <w:szCs w:val="24"/>
          <w:shd w:val="clear" w:color="auto" w:fill="FFFFFF"/>
        </w:rPr>
        <w:t xml:space="preserve">% față de 2017, iar în sectorul real – </w:t>
      </w:r>
      <w:r>
        <w:rPr>
          <w:bCs/>
          <w:color w:val="000000" w:themeColor="text1"/>
          <w:sz w:val="24"/>
          <w:szCs w:val="24"/>
          <w:shd w:val="clear" w:color="auto" w:fill="FFFFFF"/>
        </w:rPr>
        <w:t>6748,2</w:t>
      </w:r>
      <w:r w:rsidRPr="00C32986">
        <w:rPr>
          <w:bCs/>
          <w:color w:val="000000" w:themeColor="text1"/>
          <w:sz w:val="24"/>
          <w:szCs w:val="24"/>
          <w:shd w:val="clear" w:color="auto" w:fill="FFFFFF"/>
        </w:rPr>
        <w:t xml:space="preserve"> lei și s-a majorat cu </w:t>
      </w:r>
      <w:r>
        <w:rPr>
          <w:bCs/>
          <w:color w:val="000000" w:themeColor="text1"/>
          <w:sz w:val="24"/>
          <w:szCs w:val="24"/>
          <w:shd w:val="clear" w:color="auto" w:fill="FFFFFF"/>
        </w:rPr>
        <w:t>12,5</w:t>
      </w:r>
      <w:r w:rsidRPr="00C32986">
        <w:rPr>
          <w:bCs/>
          <w:color w:val="000000" w:themeColor="text1"/>
          <w:sz w:val="24"/>
          <w:szCs w:val="24"/>
          <w:shd w:val="clear" w:color="auto" w:fill="FFFFFF"/>
        </w:rPr>
        <w:t>%, respectiv.</w:t>
      </w:r>
    </w:p>
    <w:p w:rsidR="00F64632" w:rsidRPr="00C32986" w:rsidRDefault="00F64632" w:rsidP="00F64632">
      <w:pPr>
        <w:jc w:val="both"/>
        <w:rPr>
          <w:bCs/>
          <w:color w:val="000000" w:themeColor="text1"/>
          <w:sz w:val="24"/>
          <w:szCs w:val="24"/>
          <w:shd w:val="clear" w:color="auto" w:fill="FFFFFF"/>
        </w:rPr>
      </w:pPr>
    </w:p>
    <w:p w:rsidR="00F64632" w:rsidRPr="00814B18" w:rsidRDefault="00F64632" w:rsidP="00F64632">
      <w:pPr>
        <w:jc w:val="both"/>
        <w:rPr>
          <w:rFonts w:eastAsia="Calibri"/>
          <w:color w:val="000000"/>
          <w:sz w:val="24"/>
          <w:szCs w:val="24"/>
        </w:rPr>
      </w:pPr>
      <w:r w:rsidRPr="00C32986">
        <w:rPr>
          <w:rFonts w:eastAsia="Calibri"/>
          <w:color w:val="000000"/>
          <w:sz w:val="24"/>
          <w:szCs w:val="24"/>
          <w:shd w:val="clear" w:color="auto" w:fill="FFFFFF"/>
        </w:rPr>
        <w:t xml:space="preserve">Salarii </w:t>
      </w:r>
      <w:r w:rsidRPr="00C32986">
        <w:rPr>
          <w:rFonts w:eastAsia="Calibri"/>
          <w:b/>
          <w:bCs/>
          <w:color w:val="000000"/>
          <w:sz w:val="24"/>
          <w:szCs w:val="24"/>
          <w:shd w:val="clear" w:color="auto" w:fill="FFFFFF"/>
        </w:rPr>
        <w:t>mai mici</w:t>
      </w:r>
      <w:r w:rsidRPr="00C32986">
        <w:rPr>
          <w:rFonts w:eastAsia="Calibri"/>
          <w:color w:val="000000"/>
          <w:sz w:val="24"/>
          <w:szCs w:val="24"/>
          <w:shd w:val="clear" w:color="auto" w:fill="FFFFFF"/>
        </w:rPr>
        <w:t xml:space="preserve"> decît media pe țară în 2018 au fost plătite în domeniul „</w:t>
      </w:r>
      <w:r w:rsidRPr="00C32986">
        <w:rPr>
          <w:rFonts w:eastAsia="Calibri"/>
          <w:color w:val="000000"/>
          <w:sz w:val="24"/>
          <w:szCs w:val="24"/>
        </w:rPr>
        <w:t xml:space="preserve">artă, activități de recreere şi de agrement” – </w:t>
      </w:r>
      <w:r w:rsidRPr="00C32986">
        <w:rPr>
          <w:rFonts w:eastAsia="Calibri"/>
          <w:sz w:val="24"/>
          <w:szCs w:val="24"/>
        </w:rPr>
        <w:t>3780,2 lei, agricultură</w:t>
      </w:r>
      <w:r w:rsidRPr="00C32986">
        <w:rPr>
          <w:rFonts w:eastAsia="Calibri"/>
          <w:color w:val="000000"/>
          <w:sz w:val="24"/>
          <w:szCs w:val="24"/>
        </w:rPr>
        <w:t xml:space="preserve">, silvicultură și pescuit” – 4318,4 lei, „activități de cazare și </w:t>
      </w:r>
      <w:proofErr w:type="spellStart"/>
      <w:r w:rsidRPr="00C32986">
        <w:rPr>
          <w:rFonts w:eastAsia="Calibri"/>
          <w:color w:val="000000"/>
          <w:sz w:val="24"/>
          <w:szCs w:val="24"/>
        </w:rPr>
        <w:t>alimentaţie</w:t>
      </w:r>
      <w:proofErr w:type="spellEnd"/>
      <w:r w:rsidRPr="00C32986">
        <w:rPr>
          <w:rFonts w:eastAsia="Calibri"/>
          <w:color w:val="000000"/>
          <w:sz w:val="24"/>
          <w:szCs w:val="24"/>
        </w:rPr>
        <w:t xml:space="preserve"> publică” – 4544,0 lei, „</w:t>
      </w:r>
      <w:proofErr w:type="spellStart"/>
      <w:r w:rsidRPr="00C32986">
        <w:rPr>
          <w:rFonts w:eastAsia="Calibri"/>
          <w:color w:val="000000"/>
          <w:sz w:val="24"/>
          <w:szCs w:val="24"/>
        </w:rPr>
        <w:t>învățămînt</w:t>
      </w:r>
      <w:proofErr w:type="spellEnd"/>
      <w:r w:rsidRPr="00C32986">
        <w:rPr>
          <w:rFonts w:eastAsia="Calibri"/>
          <w:color w:val="000000"/>
          <w:sz w:val="24"/>
          <w:szCs w:val="24"/>
        </w:rPr>
        <w:t>” –</w:t>
      </w:r>
      <w:r w:rsidRPr="00C32986">
        <w:rPr>
          <w:rFonts w:eastAsia="Calibri"/>
          <w:color w:val="FF0000"/>
          <w:sz w:val="24"/>
          <w:szCs w:val="24"/>
        </w:rPr>
        <w:t xml:space="preserve"> </w:t>
      </w:r>
      <w:r w:rsidRPr="00C32986">
        <w:rPr>
          <w:rFonts w:eastAsia="Calibri"/>
          <w:color w:val="000000"/>
          <w:sz w:val="24"/>
          <w:szCs w:val="24"/>
        </w:rPr>
        <w:t>5147,4 lei, „activități de servicii administrative şi de suport” – 524</w:t>
      </w:r>
      <w:r>
        <w:rPr>
          <w:rFonts w:eastAsia="Calibri"/>
          <w:color w:val="000000"/>
          <w:sz w:val="24"/>
          <w:szCs w:val="24"/>
        </w:rPr>
        <w:t xml:space="preserve">3,1 lei, </w:t>
      </w:r>
      <w:r w:rsidRPr="00C32986">
        <w:rPr>
          <w:rFonts w:eastAsia="Calibri"/>
          <w:color w:val="000000"/>
          <w:sz w:val="24"/>
          <w:szCs w:val="24"/>
        </w:rPr>
        <w:t>„</w:t>
      </w:r>
      <w:r w:rsidRPr="00C32986">
        <w:rPr>
          <w:rFonts w:eastAsia="Calibri"/>
          <w:color w:val="000000"/>
          <w:sz w:val="24"/>
          <w:szCs w:val="24"/>
          <w:shd w:val="clear" w:color="auto" w:fill="FFFFFF"/>
        </w:rPr>
        <w:t>tranzacții imobiliare” – 5534,9 lei, </w:t>
      </w:r>
      <w:r w:rsidRPr="00C32986">
        <w:rPr>
          <w:rFonts w:eastAsia="Calibri"/>
          <w:color w:val="000000"/>
          <w:sz w:val="24"/>
          <w:szCs w:val="24"/>
        </w:rPr>
        <w:t>„comerț cu ridicata și cu amănuntul” – 6009,7 lei,</w:t>
      </w:r>
      <w:r w:rsidRPr="00C32986">
        <w:rPr>
          <w:rFonts w:eastAsia="Calibri"/>
          <w:color w:val="000000"/>
          <w:sz w:val="24"/>
          <w:szCs w:val="24"/>
          <w:shd w:val="clear" w:color="auto" w:fill="FFFFFF"/>
        </w:rPr>
        <w:t xml:space="preserve"> „transport și depozitare” </w:t>
      </w:r>
      <w:r w:rsidRPr="00C32986">
        <w:rPr>
          <w:rFonts w:eastAsia="Calibri"/>
          <w:color w:val="000000"/>
          <w:sz w:val="24"/>
          <w:szCs w:val="24"/>
        </w:rPr>
        <w:t xml:space="preserve">– </w:t>
      </w:r>
      <w:r w:rsidRPr="00C32986">
        <w:rPr>
          <w:rFonts w:eastAsia="Calibri"/>
          <w:color w:val="000000"/>
          <w:sz w:val="24"/>
          <w:szCs w:val="24"/>
          <w:shd w:val="clear" w:color="auto" w:fill="FFFFFF"/>
        </w:rPr>
        <w:t>6077 lei,</w:t>
      </w:r>
      <w:r>
        <w:rPr>
          <w:rFonts w:eastAsia="Calibri"/>
          <w:color w:val="000000"/>
          <w:sz w:val="24"/>
          <w:szCs w:val="24"/>
          <w:shd w:val="clear" w:color="auto" w:fill="FFFFFF"/>
        </w:rPr>
        <w:t xml:space="preserve"> </w:t>
      </w:r>
      <w:r w:rsidRPr="00C32986">
        <w:rPr>
          <w:rFonts w:eastAsia="Calibri"/>
          <w:color w:val="000000"/>
          <w:sz w:val="24"/>
          <w:szCs w:val="24"/>
          <w:shd w:val="clear" w:color="auto" w:fill="FFFFFF"/>
        </w:rPr>
        <w:t>„</w:t>
      </w:r>
      <w:r w:rsidRPr="00C32986">
        <w:rPr>
          <w:rFonts w:eastAsia="Calibri"/>
          <w:color w:val="000000"/>
          <w:sz w:val="24"/>
          <w:szCs w:val="24"/>
        </w:rPr>
        <w:t xml:space="preserve">sănătate și asistență socială” – 6228 lei, </w:t>
      </w:r>
      <w:r w:rsidRPr="00C32986">
        <w:rPr>
          <w:rFonts w:eastAsia="Calibri"/>
          <w:color w:val="000000"/>
          <w:sz w:val="24"/>
          <w:szCs w:val="24"/>
          <w:shd w:val="clear" w:color="auto" w:fill="FFFFFF"/>
        </w:rPr>
        <w:t>„construcții” – 6456,2 lei</w:t>
      </w:r>
      <w:r w:rsidRPr="00C32986">
        <w:rPr>
          <w:rFonts w:eastAsia="Calibri"/>
          <w:color w:val="000000"/>
          <w:sz w:val="24"/>
          <w:szCs w:val="24"/>
        </w:rPr>
        <w:t>.</w:t>
      </w:r>
      <w:r>
        <w:rPr>
          <w:rFonts w:eastAsia="Calibri"/>
          <w:color w:val="000000"/>
          <w:sz w:val="24"/>
          <w:szCs w:val="24"/>
        </w:rPr>
        <w:t xml:space="preserve"> </w:t>
      </w:r>
      <w:r w:rsidRPr="00C32986">
        <w:rPr>
          <w:rFonts w:eastAsia="Calibri"/>
          <w:color w:val="000000"/>
          <w:sz w:val="24"/>
          <w:szCs w:val="24"/>
          <w:shd w:val="clear" w:color="auto" w:fill="FFFFFF"/>
        </w:rPr>
        <w:t xml:space="preserve">Salarii </w:t>
      </w:r>
      <w:r w:rsidRPr="00C32986">
        <w:rPr>
          <w:rFonts w:eastAsia="Calibri"/>
          <w:b/>
          <w:bCs/>
          <w:color w:val="000000"/>
          <w:sz w:val="24"/>
          <w:szCs w:val="24"/>
          <w:shd w:val="clear" w:color="auto" w:fill="FFFFFF"/>
        </w:rPr>
        <w:t xml:space="preserve">mai </w:t>
      </w:r>
      <w:r w:rsidR="00D424F5">
        <w:rPr>
          <w:rFonts w:eastAsia="Calibri"/>
          <w:b/>
          <w:bCs/>
          <w:color w:val="000000"/>
          <w:sz w:val="24"/>
          <w:szCs w:val="24"/>
          <w:shd w:val="clear" w:color="auto" w:fill="FFFFFF"/>
        </w:rPr>
        <w:t>mari</w:t>
      </w:r>
      <w:r w:rsidRPr="00C32986">
        <w:rPr>
          <w:rFonts w:eastAsia="Calibri"/>
          <w:color w:val="000000"/>
          <w:sz w:val="24"/>
          <w:szCs w:val="24"/>
          <w:shd w:val="clear" w:color="auto" w:fill="FFFFFF"/>
        </w:rPr>
        <w:t xml:space="preserve"> au fost achitate în domeniul „administrație publică” – 8397,8 lei,</w:t>
      </w:r>
      <w:r w:rsidRPr="00814B18">
        <w:rPr>
          <w:rFonts w:eastAsia="Calibri"/>
          <w:color w:val="000000"/>
          <w:sz w:val="24"/>
          <w:szCs w:val="24"/>
        </w:rPr>
        <w:t xml:space="preserve"> </w:t>
      </w:r>
      <w:r w:rsidRPr="00C32986">
        <w:rPr>
          <w:rFonts w:eastAsia="Calibri"/>
          <w:color w:val="000000"/>
          <w:sz w:val="24"/>
          <w:szCs w:val="24"/>
        </w:rPr>
        <w:t>„</w:t>
      </w:r>
      <w:r w:rsidRPr="00C32986">
        <w:rPr>
          <w:rFonts w:eastAsia="Calibri"/>
          <w:color w:val="000000"/>
          <w:sz w:val="24"/>
          <w:szCs w:val="24"/>
          <w:shd w:val="clear" w:color="auto" w:fill="FFFFFF"/>
        </w:rPr>
        <w:t>activități profesionale, științifice și tehnice” – 8447,7</w:t>
      </w:r>
      <w:r>
        <w:rPr>
          <w:rFonts w:eastAsia="Calibri"/>
          <w:color w:val="000000"/>
          <w:sz w:val="24"/>
          <w:szCs w:val="24"/>
          <w:shd w:val="clear" w:color="auto" w:fill="FFFFFF"/>
        </w:rPr>
        <w:t xml:space="preserve"> lei, </w:t>
      </w:r>
      <w:r w:rsidRPr="00814B18">
        <w:rPr>
          <w:rFonts w:eastAsia="Calibri"/>
          <w:color w:val="000000"/>
          <w:sz w:val="24"/>
          <w:szCs w:val="24"/>
          <w:shd w:val="clear" w:color="auto" w:fill="FFFFFF"/>
        </w:rPr>
        <w:t>„activităţi financiare şi de asigurări” – 12181,8 lei,</w:t>
      </w:r>
      <w:r>
        <w:rPr>
          <w:rFonts w:eastAsia="Calibri"/>
          <w:color w:val="000000"/>
          <w:sz w:val="24"/>
          <w:szCs w:val="24"/>
          <w:shd w:val="clear" w:color="auto" w:fill="FFFFFF"/>
        </w:rPr>
        <w:t xml:space="preserve"> </w:t>
      </w:r>
      <w:r w:rsidRPr="00C32986">
        <w:rPr>
          <w:rFonts w:eastAsia="Calibri"/>
          <w:color w:val="000000"/>
          <w:sz w:val="24"/>
          <w:szCs w:val="24"/>
          <w:shd w:val="clear" w:color="auto" w:fill="FFFFFF"/>
        </w:rPr>
        <w:t xml:space="preserve">„informații și comunicații” – 14276,1 lei, </w:t>
      </w:r>
      <w:r w:rsidRPr="00C32986">
        <w:rPr>
          <w:rFonts w:eastAsia="Calibri"/>
          <w:color w:val="000000"/>
          <w:sz w:val="24"/>
          <w:szCs w:val="24"/>
        </w:rPr>
        <w:t>și</w:t>
      </w:r>
      <w:r w:rsidRPr="00C32986">
        <w:rPr>
          <w:rFonts w:eastAsia="Calibri"/>
          <w:color w:val="000000"/>
          <w:sz w:val="24"/>
          <w:szCs w:val="24"/>
          <w:shd w:val="clear" w:color="auto" w:fill="FFFFFF"/>
        </w:rPr>
        <w:t xml:space="preserve"> în </w:t>
      </w:r>
      <w:r w:rsidRPr="00C32986">
        <w:rPr>
          <w:rFonts w:eastAsia="Calibri"/>
          <w:color w:val="000000"/>
          <w:sz w:val="24"/>
          <w:szCs w:val="24"/>
        </w:rPr>
        <w:t>„alte activităţi de servicii” – 7182,1 lei</w:t>
      </w:r>
      <w:r w:rsidRPr="00C32986">
        <w:rPr>
          <w:rFonts w:eastAsia="Calibri"/>
          <w:color w:val="000000"/>
          <w:sz w:val="24"/>
          <w:szCs w:val="24"/>
          <w:shd w:val="clear" w:color="auto" w:fill="FFFFFF"/>
        </w:rPr>
        <w:t>.</w:t>
      </w:r>
      <w:r w:rsidRPr="00C32986">
        <w:rPr>
          <w:rFonts w:eastAsia="Calibri"/>
          <w:color w:val="000000"/>
          <w:sz w:val="24"/>
          <w:szCs w:val="24"/>
        </w:rPr>
        <w:t xml:space="preserve">  </w:t>
      </w:r>
    </w:p>
    <w:p w:rsidR="00F64632" w:rsidRPr="00667A84" w:rsidRDefault="00F64632" w:rsidP="00F64632">
      <w:pPr>
        <w:jc w:val="both"/>
        <w:rPr>
          <w:color w:val="000000"/>
          <w:sz w:val="24"/>
          <w:szCs w:val="24"/>
          <w:highlight w:val="yellow"/>
          <w:u w:val="single"/>
        </w:rPr>
      </w:pPr>
    </w:p>
    <w:p w:rsidR="00F64632" w:rsidRPr="0041234C" w:rsidRDefault="00F64632" w:rsidP="00F64632">
      <w:pPr>
        <w:jc w:val="both"/>
        <w:rPr>
          <w:color w:val="000000"/>
          <w:sz w:val="24"/>
          <w:szCs w:val="24"/>
        </w:rPr>
      </w:pPr>
      <w:r w:rsidRPr="0041234C">
        <w:rPr>
          <w:b/>
          <w:bCs/>
          <w:color w:val="000000"/>
          <w:sz w:val="24"/>
          <w:szCs w:val="24"/>
        </w:rPr>
        <w:t xml:space="preserve">Numărul șomerilor, </w:t>
      </w:r>
      <w:r w:rsidRPr="0041234C">
        <w:rPr>
          <w:bCs/>
          <w:color w:val="000000"/>
          <w:sz w:val="24"/>
          <w:szCs w:val="24"/>
        </w:rPr>
        <w:t>estimat</w:t>
      </w:r>
      <w:r w:rsidRPr="0041234C">
        <w:rPr>
          <w:color w:val="000000"/>
          <w:sz w:val="24"/>
          <w:szCs w:val="24"/>
        </w:rPr>
        <w:t xml:space="preserve"> conform metodologiei Biroului Internațional al Muncii (BIM) în trimestrul III 2018 a fost de 30,4 mii, fiind cu 14,2 mii persoane mai mic față de trimestrul III 2017. Șomajul a afectat într-o proporție mai mare bărbații – 60,9% din total numărul de șomeri, la fel și persoanele din mediul urban – 67,3%.</w:t>
      </w:r>
    </w:p>
    <w:p w:rsidR="00F64632" w:rsidRPr="0041234C" w:rsidRDefault="00F64632" w:rsidP="00F64632">
      <w:pPr>
        <w:jc w:val="both"/>
        <w:rPr>
          <w:bCs/>
          <w:color w:val="0070C0"/>
          <w:sz w:val="24"/>
          <w:szCs w:val="24"/>
        </w:rPr>
      </w:pPr>
    </w:p>
    <w:p w:rsidR="00F64632" w:rsidRPr="0041234C" w:rsidRDefault="00F64632" w:rsidP="00F64632">
      <w:pPr>
        <w:jc w:val="both"/>
        <w:rPr>
          <w:color w:val="000000"/>
          <w:sz w:val="24"/>
          <w:szCs w:val="24"/>
        </w:rPr>
      </w:pPr>
      <w:r w:rsidRPr="0041234C">
        <w:rPr>
          <w:b/>
          <w:bCs/>
          <w:color w:val="000000"/>
          <w:sz w:val="24"/>
          <w:szCs w:val="24"/>
        </w:rPr>
        <w:t>Rata șomajului</w:t>
      </w:r>
      <w:r w:rsidRPr="0041234C">
        <w:rPr>
          <w:color w:val="000000"/>
          <w:sz w:val="24"/>
          <w:szCs w:val="24"/>
        </w:rPr>
        <w:t xml:space="preserve"> </w:t>
      </w:r>
      <w:r w:rsidRPr="0041234C">
        <w:rPr>
          <w:i/>
          <w:color w:val="000000"/>
          <w:sz w:val="24"/>
          <w:szCs w:val="24"/>
        </w:rPr>
        <w:t>(proporția șomerilor BIM în populația activă)</w:t>
      </w:r>
      <w:r w:rsidRPr="0041234C">
        <w:rPr>
          <w:color w:val="000000"/>
          <w:sz w:val="24"/>
          <w:szCs w:val="24"/>
        </w:rPr>
        <w:t xml:space="preserve"> la nivel de țară în trimestrul III 2018 a înregistrat 2,2</w:t>
      </w:r>
      <w:r w:rsidRPr="0041234C">
        <w:rPr>
          <w:bCs/>
          <w:color w:val="000000"/>
          <w:sz w:val="24"/>
          <w:szCs w:val="24"/>
        </w:rPr>
        <w:t xml:space="preserve">%, fiind </w:t>
      </w:r>
      <w:r w:rsidRPr="0041234C">
        <w:rPr>
          <w:color w:val="000000"/>
          <w:sz w:val="24"/>
          <w:szCs w:val="24"/>
        </w:rPr>
        <w:t>mai mică</w:t>
      </w:r>
      <w:r w:rsidRPr="0041234C">
        <w:rPr>
          <w:bCs/>
          <w:color w:val="000000"/>
          <w:sz w:val="24"/>
          <w:szCs w:val="24"/>
        </w:rPr>
        <w:t xml:space="preserve"> cu 1,2 p.p. față de trimestrul II</w:t>
      </w:r>
      <w:r w:rsidRPr="0041234C">
        <w:rPr>
          <w:color w:val="000000"/>
          <w:sz w:val="24"/>
          <w:szCs w:val="24"/>
        </w:rPr>
        <w:t>I</w:t>
      </w:r>
      <w:r w:rsidRPr="0041234C">
        <w:rPr>
          <w:bCs/>
          <w:color w:val="000000"/>
          <w:sz w:val="24"/>
          <w:szCs w:val="24"/>
        </w:rPr>
        <w:t xml:space="preserve"> </w:t>
      </w:r>
      <w:r w:rsidRPr="0041234C">
        <w:rPr>
          <w:color w:val="000000"/>
          <w:sz w:val="24"/>
          <w:szCs w:val="24"/>
        </w:rPr>
        <w:t>2017</w:t>
      </w:r>
      <w:r w:rsidRPr="0041234C">
        <w:rPr>
          <w:bCs/>
          <w:color w:val="000000"/>
          <w:sz w:val="24"/>
          <w:szCs w:val="24"/>
        </w:rPr>
        <w:t xml:space="preserve"> (</w:t>
      </w:r>
      <w:r w:rsidRPr="0041234C">
        <w:rPr>
          <w:color w:val="000000"/>
          <w:sz w:val="24"/>
          <w:szCs w:val="24"/>
        </w:rPr>
        <w:t>3,4</w:t>
      </w:r>
      <w:r w:rsidRPr="0041234C">
        <w:rPr>
          <w:bCs/>
          <w:color w:val="000000"/>
          <w:sz w:val="24"/>
          <w:szCs w:val="24"/>
        </w:rPr>
        <w:t>%)</w:t>
      </w:r>
      <w:r w:rsidRPr="0041234C">
        <w:rPr>
          <w:color w:val="000000"/>
          <w:sz w:val="24"/>
          <w:szCs w:val="24"/>
        </w:rPr>
        <w:t xml:space="preserve">. Au fost înregistrate disparități între rata șomajului în mediul urban și cel rural (respectiv, 3,5% și 1,2%). Rata șomajului la bărbați a constituit 2,6% și la femei – 1,7%. În rîndurile tinerilor (15-24 ani) rata șomajului a constituit 6%. În categoria de vîrstă 15-29 ani acest indicator a fost de 3,6%.  </w:t>
      </w:r>
    </w:p>
    <w:p w:rsidR="00F64632" w:rsidRPr="00667A84" w:rsidRDefault="00F64632" w:rsidP="00F64632">
      <w:pPr>
        <w:jc w:val="both"/>
        <w:rPr>
          <w:color w:val="000000"/>
          <w:sz w:val="24"/>
          <w:szCs w:val="24"/>
          <w:highlight w:val="yellow"/>
          <w:u w:val="single"/>
        </w:rPr>
      </w:pPr>
    </w:p>
    <w:p w:rsidR="00B75764" w:rsidRDefault="00F64632" w:rsidP="00F64632">
      <w:pPr>
        <w:jc w:val="both"/>
        <w:rPr>
          <w:color w:val="000000"/>
          <w:sz w:val="24"/>
          <w:szCs w:val="24"/>
        </w:rPr>
      </w:pPr>
      <w:r w:rsidRPr="00B60939">
        <w:rPr>
          <w:color w:val="000000" w:themeColor="text1"/>
          <w:sz w:val="24"/>
          <w:szCs w:val="24"/>
        </w:rPr>
        <w:t xml:space="preserve">La </w:t>
      </w:r>
      <w:r w:rsidRPr="00B60939">
        <w:rPr>
          <w:b/>
          <w:color w:val="000000" w:themeColor="text1"/>
          <w:sz w:val="24"/>
          <w:szCs w:val="24"/>
        </w:rPr>
        <w:t>oficiile forței de muncă</w:t>
      </w:r>
      <w:r w:rsidRPr="00B60939">
        <w:rPr>
          <w:color w:val="000000" w:themeColor="text1"/>
          <w:sz w:val="24"/>
          <w:szCs w:val="24"/>
        </w:rPr>
        <w:t xml:space="preserve"> în ianuarie 2019 au fost înregistrați circa 3,3 mii șomeri, fiind cu 13% mai puțini față de numărul acestora înregistrați în ianuarie 2018. </w:t>
      </w:r>
      <w:r w:rsidRPr="00B60939">
        <w:rPr>
          <w:color w:val="000000"/>
          <w:sz w:val="24"/>
          <w:szCs w:val="24"/>
        </w:rPr>
        <w:t xml:space="preserve">În câmpul muncii au fost </w:t>
      </w:r>
      <w:proofErr w:type="spellStart"/>
      <w:r w:rsidRPr="00B60939">
        <w:rPr>
          <w:color w:val="000000"/>
          <w:sz w:val="24"/>
          <w:szCs w:val="24"/>
        </w:rPr>
        <w:t>plasaţi</w:t>
      </w:r>
      <w:proofErr w:type="spellEnd"/>
      <w:r w:rsidRPr="00B60939">
        <w:rPr>
          <w:color w:val="000000"/>
          <w:sz w:val="24"/>
          <w:szCs w:val="24"/>
        </w:rPr>
        <w:t xml:space="preserve"> circa 0,</w:t>
      </w:r>
      <w:r w:rsidR="009F29F1">
        <w:rPr>
          <w:color w:val="000000"/>
          <w:sz w:val="24"/>
          <w:szCs w:val="24"/>
        </w:rPr>
        <w:t>8</w:t>
      </w:r>
      <w:r w:rsidRPr="00B60939">
        <w:rPr>
          <w:color w:val="000000"/>
          <w:sz w:val="24"/>
          <w:szCs w:val="24"/>
        </w:rPr>
        <w:t xml:space="preserve"> mii </w:t>
      </w:r>
      <w:proofErr w:type="spellStart"/>
      <w:r w:rsidRPr="00B60939">
        <w:rPr>
          <w:color w:val="000000"/>
          <w:sz w:val="24"/>
          <w:szCs w:val="24"/>
        </w:rPr>
        <w:t>şomeri</w:t>
      </w:r>
      <w:proofErr w:type="spellEnd"/>
      <w:r w:rsidRPr="00B60939">
        <w:rPr>
          <w:color w:val="000000"/>
          <w:sz w:val="24"/>
          <w:szCs w:val="24"/>
        </w:rPr>
        <w:t xml:space="preserve">, cu 0,8 </w:t>
      </w:r>
      <w:proofErr w:type="spellStart"/>
      <w:r w:rsidRPr="00B60939">
        <w:rPr>
          <w:color w:val="000000"/>
          <w:sz w:val="24"/>
          <w:szCs w:val="24"/>
        </w:rPr>
        <w:t>p.p</w:t>
      </w:r>
      <w:proofErr w:type="spellEnd"/>
      <w:r w:rsidRPr="00B60939">
        <w:rPr>
          <w:color w:val="000000"/>
          <w:sz w:val="24"/>
          <w:szCs w:val="24"/>
        </w:rPr>
        <w:t xml:space="preserve"> mai mult. Din totalul şomerilor </w:t>
      </w:r>
      <w:proofErr w:type="spellStart"/>
      <w:r w:rsidRPr="00B60939">
        <w:rPr>
          <w:color w:val="000000"/>
          <w:sz w:val="24"/>
          <w:szCs w:val="24"/>
        </w:rPr>
        <w:t>înregistraţi</w:t>
      </w:r>
      <w:proofErr w:type="spellEnd"/>
      <w:r w:rsidRPr="00B60939">
        <w:rPr>
          <w:color w:val="000000"/>
          <w:sz w:val="24"/>
          <w:szCs w:val="24"/>
        </w:rPr>
        <w:t xml:space="preserve">, au </w:t>
      </w:r>
      <w:r w:rsidR="009F29F1">
        <w:rPr>
          <w:color w:val="000000"/>
          <w:sz w:val="24"/>
          <w:szCs w:val="24"/>
        </w:rPr>
        <w:t xml:space="preserve">beneficiat de ajutor de </w:t>
      </w:r>
      <w:proofErr w:type="spellStart"/>
      <w:r w:rsidR="009F29F1">
        <w:rPr>
          <w:color w:val="000000"/>
          <w:sz w:val="24"/>
          <w:szCs w:val="24"/>
        </w:rPr>
        <w:t>şomaj</w:t>
      </w:r>
      <w:proofErr w:type="spellEnd"/>
      <w:r w:rsidR="009F29F1">
        <w:rPr>
          <w:color w:val="000000"/>
          <w:sz w:val="24"/>
          <w:szCs w:val="24"/>
        </w:rPr>
        <w:t xml:space="preserve"> 1</w:t>
      </w:r>
      <w:r w:rsidRPr="00B60939">
        <w:rPr>
          <w:color w:val="000000"/>
          <w:sz w:val="24"/>
          <w:szCs w:val="24"/>
        </w:rPr>
        <w:t>2</w:t>
      </w:r>
      <w:r w:rsidR="009F29F1">
        <w:rPr>
          <w:color w:val="000000"/>
          <w:sz w:val="24"/>
          <w:szCs w:val="24"/>
        </w:rPr>
        <w:t>86</w:t>
      </w:r>
      <w:r w:rsidRPr="00B60939">
        <w:rPr>
          <w:color w:val="000000"/>
          <w:sz w:val="24"/>
          <w:szCs w:val="24"/>
        </w:rPr>
        <w:t xml:space="preserve"> persoane, numărul acestora fiind mai mic cu 25% faţă de </w:t>
      </w:r>
      <w:proofErr w:type="spellStart"/>
      <w:r w:rsidRPr="00B60939">
        <w:rPr>
          <w:color w:val="000000"/>
          <w:sz w:val="24"/>
          <w:szCs w:val="24"/>
        </w:rPr>
        <w:t>aceeaşi</w:t>
      </w:r>
      <w:proofErr w:type="spellEnd"/>
      <w:r w:rsidRPr="00B60939">
        <w:rPr>
          <w:color w:val="000000"/>
          <w:sz w:val="24"/>
          <w:szCs w:val="24"/>
        </w:rPr>
        <w:t xml:space="preserve"> perioadă a anului precedent. Mărimea medie a ajutorului de </w:t>
      </w:r>
      <w:proofErr w:type="spellStart"/>
      <w:r w:rsidRPr="00B60939">
        <w:rPr>
          <w:color w:val="000000"/>
          <w:sz w:val="24"/>
          <w:szCs w:val="24"/>
        </w:rPr>
        <w:t>şomaj</w:t>
      </w:r>
      <w:proofErr w:type="spellEnd"/>
      <w:r w:rsidRPr="00B60939">
        <w:rPr>
          <w:color w:val="000000"/>
          <w:sz w:val="24"/>
          <w:szCs w:val="24"/>
        </w:rPr>
        <w:t xml:space="preserve"> în perioada ianuarie 2019  a constituit 1627,6 lei, </w:t>
      </w:r>
      <w:proofErr w:type="spellStart"/>
      <w:r w:rsidRPr="00B60939">
        <w:rPr>
          <w:color w:val="000000"/>
          <w:sz w:val="24"/>
          <w:szCs w:val="24"/>
        </w:rPr>
        <w:t>marcîndu</w:t>
      </w:r>
      <w:proofErr w:type="spellEnd"/>
      <w:r w:rsidRPr="00B60939">
        <w:rPr>
          <w:color w:val="000000"/>
          <w:sz w:val="24"/>
          <w:szCs w:val="24"/>
        </w:rPr>
        <w:t>-se o creştere de 2,7% faţă de perioada similară a anului 2018.</w:t>
      </w:r>
    </w:p>
    <w:p w:rsidR="00EB140C" w:rsidRPr="00667A84" w:rsidRDefault="00EB140C" w:rsidP="20A081F4">
      <w:pPr>
        <w:shd w:val="clear" w:color="auto" w:fill="FFFFFF" w:themeFill="background1"/>
        <w:tabs>
          <w:tab w:val="left" w:pos="6030"/>
        </w:tabs>
        <w:jc w:val="both"/>
        <w:rPr>
          <w:b/>
          <w:bCs/>
          <w:i/>
          <w:iCs/>
          <w:sz w:val="24"/>
          <w:szCs w:val="24"/>
          <w:u w:val="single"/>
        </w:rPr>
      </w:pPr>
    </w:p>
    <w:p w:rsidR="00EB140C" w:rsidRPr="00667A84" w:rsidRDefault="00EB140C" w:rsidP="20A081F4">
      <w:pPr>
        <w:shd w:val="clear" w:color="auto" w:fill="FFFFFF" w:themeFill="background1"/>
        <w:tabs>
          <w:tab w:val="left" w:pos="6030"/>
        </w:tabs>
        <w:jc w:val="both"/>
        <w:rPr>
          <w:b/>
          <w:bCs/>
          <w:i/>
          <w:iCs/>
          <w:sz w:val="24"/>
          <w:szCs w:val="24"/>
          <w:u w:val="single"/>
        </w:rPr>
      </w:pPr>
    </w:p>
    <w:p w:rsidR="00033FF2" w:rsidRPr="0041234C" w:rsidRDefault="20A081F4" w:rsidP="20A081F4">
      <w:pPr>
        <w:shd w:val="clear" w:color="auto" w:fill="FFFFFF" w:themeFill="background1"/>
        <w:tabs>
          <w:tab w:val="left" w:pos="6030"/>
        </w:tabs>
        <w:jc w:val="both"/>
        <w:rPr>
          <w:b/>
          <w:bCs/>
          <w:i/>
          <w:iCs/>
          <w:sz w:val="24"/>
          <w:szCs w:val="24"/>
        </w:rPr>
      </w:pPr>
      <w:r w:rsidRPr="0041234C">
        <w:rPr>
          <w:b/>
          <w:bCs/>
          <w:i/>
          <w:iCs/>
          <w:sz w:val="24"/>
          <w:szCs w:val="24"/>
        </w:rPr>
        <w:t>Secția mod</w:t>
      </w:r>
      <w:r w:rsidR="00963948" w:rsidRPr="0041234C">
        <w:rPr>
          <w:b/>
          <w:bCs/>
          <w:i/>
          <w:iCs/>
          <w:sz w:val="24"/>
          <w:szCs w:val="24"/>
        </w:rPr>
        <w:t>e</w:t>
      </w:r>
      <w:r w:rsidR="00D2745B" w:rsidRPr="0041234C">
        <w:rPr>
          <w:b/>
          <w:bCs/>
          <w:i/>
          <w:iCs/>
          <w:sz w:val="24"/>
          <w:szCs w:val="24"/>
        </w:rPr>
        <w:t xml:space="preserve">lare și prognozare economică, </w:t>
      </w:r>
      <w:r w:rsidR="00F64632" w:rsidRPr="0041234C">
        <w:rPr>
          <w:b/>
          <w:bCs/>
          <w:i/>
          <w:iCs/>
          <w:sz w:val="24"/>
          <w:szCs w:val="24"/>
        </w:rPr>
        <w:t>0</w:t>
      </w:r>
      <w:r w:rsidR="0041234C" w:rsidRPr="0041234C">
        <w:rPr>
          <w:b/>
          <w:bCs/>
          <w:i/>
          <w:iCs/>
          <w:sz w:val="24"/>
          <w:szCs w:val="24"/>
        </w:rPr>
        <w:t>6</w:t>
      </w:r>
      <w:r w:rsidR="003A58B2" w:rsidRPr="0041234C">
        <w:rPr>
          <w:b/>
          <w:bCs/>
          <w:i/>
          <w:iCs/>
          <w:sz w:val="24"/>
          <w:szCs w:val="24"/>
        </w:rPr>
        <w:t>.0</w:t>
      </w:r>
      <w:r w:rsidR="00F64632" w:rsidRPr="0041234C">
        <w:rPr>
          <w:b/>
          <w:bCs/>
          <w:i/>
          <w:iCs/>
          <w:sz w:val="24"/>
          <w:szCs w:val="24"/>
        </w:rPr>
        <w:t>3</w:t>
      </w:r>
      <w:r w:rsidR="00EB140C" w:rsidRPr="0041234C">
        <w:rPr>
          <w:b/>
          <w:bCs/>
          <w:i/>
          <w:iCs/>
          <w:sz w:val="24"/>
          <w:szCs w:val="24"/>
        </w:rPr>
        <w:t>.</w:t>
      </w:r>
      <w:r w:rsidR="009925C8" w:rsidRPr="0041234C">
        <w:rPr>
          <w:b/>
          <w:bCs/>
          <w:i/>
          <w:iCs/>
          <w:sz w:val="24"/>
          <w:szCs w:val="24"/>
        </w:rPr>
        <w:t>2019</w:t>
      </w:r>
    </w:p>
    <w:sectPr w:rsidR="00033FF2" w:rsidRPr="0041234C" w:rsidSect="006B53E8">
      <w:headerReference w:type="even" r:id="rId55"/>
      <w:headerReference w:type="default" r:id="rId56"/>
      <w:pgSz w:w="11906" w:h="16838" w:code="9"/>
      <w:pgMar w:top="709"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F47" w:rsidRDefault="00671F47">
      <w:r>
        <w:separator/>
      </w:r>
    </w:p>
  </w:endnote>
  <w:endnote w:type="continuationSeparator" w:id="0">
    <w:p w:rsidR="00671F47" w:rsidRDefault="0067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ltica RR">
    <w:altName w:val="Times New Roman"/>
    <w:charset w:val="00"/>
    <w:family w:val="auto"/>
    <w:pitch w:val="variable"/>
    <w:sig w:usb0="00000003" w:usb1="00000000" w:usb2="00000000" w:usb3="00000000" w:csb0="00000001" w:csb1="00000000"/>
  </w:font>
  <w:font w:name="AV Helvetica">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T1Do00">
    <w:altName w:val="Times New Roman"/>
    <w:charset w:val="00"/>
    <w:family w:val="auto"/>
    <w:pitch w:val="default"/>
  </w:font>
  <w:font w:name="+mn-c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F47" w:rsidRDefault="00671F47">
      <w:r>
        <w:separator/>
      </w:r>
    </w:p>
  </w:footnote>
  <w:footnote w:type="continuationSeparator" w:id="0">
    <w:p w:rsidR="00671F47" w:rsidRDefault="00671F47">
      <w:r>
        <w:continuationSeparator/>
      </w:r>
    </w:p>
  </w:footnote>
  <w:footnote w:id="1">
    <w:p w:rsidR="007B5DE1" w:rsidRDefault="007B5DE1" w:rsidP="008649A8">
      <w:pPr>
        <w:pStyle w:val="FootnoteText"/>
        <w:jc w:val="both"/>
      </w:pPr>
      <w:r>
        <w:rPr>
          <w:rStyle w:val="FootnoteReference"/>
        </w:rPr>
        <w:footnoteRef/>
      </w:r>
      <w:r w:rsidRPr="004E6665">
        <w:t xml:space="preserve">Indicele </w:t>
      </w:r>
      <w:proofErr w:type="spellStart"/>
      <w:r w:rsidRPr="004E6665">
        <w:t>inflaţiei</w:t>
      </w:r>
      <w:proofErr w:type="spellEnd"/>
      <w:r w:rsidRPr="004E6665">
        <w:t xml:space="preserve"> de bază reflectă sursele persistente ale presiunilor </w:t>
      </w:r>
      <w:proofErr w:type="spellStart"/>
      <w:r w:rsidRPr="004E6665">
        <w:t>inflaţioniste</w:t>
      </w:r>
      <w:proofErr w:type="spellEnd"/>
      <w:r w:rsidRPr="004E6665">
        <w:t xml:space="preserve"> care permite de a percepe trendul </w:t>
      </w:r>
      <w:proofErr w:type="spellStart"/>
      <w:r w:rsidRPr="004E6665">
        <w:t>inflaţiei</w:t>
      </w:r>
      <w:proofErr w:type="spellEnd"/>
      <w:r w:rsidRPr="004E6665">
        <w:t xml:space="preserve"> în cazul cînd efectele </w:t>
      </w:r>
      <w:proofErr w:type="spellStart"/>
      <w:r w:rsidRPr="004E6665">
        <w:t>influenţelor</w:t>
      </w:r>
      <w:proofErr w:type="spellEnd"/>
      <w:r w:rsidRPr="004E6665">
        <w:t xml:space="preserve"> temporare şi tranzitorii sunt eliminate. Calculul acestui indice se efectuează prin eliminarea din indicele </w:t>
      </w:r>
      <w:proofErr w:type="spellStart"/>
      <w:r w:rsidRPr="004E6665">
        <w:t>preţurilor</w:t>
      </w:r>
      <w:proofErr w:type="spellEnd"/>
      <w:r w:rsidRPr="004E6665">
        <w:t xml:space="preserve"> de consum general a efectelor unor </w:t>
      </w:r>
      <w:proofErr w:type="spellStart"/>
      <w:r w:rsidRPr="004E6665">
        <w:t>şocuri</w:t>
      </w:r>
      <w:proofErr w:type="spellEnd"/>
      <w:r w:rsidRPr="004E6665">
        <w:t xml:space="preserve"> tranzitorii de genul modificărilor intervenite în urma schimbării </w:t>
      </w:r>
      <w:proofErr w:type="spellStart"/>
      <w:r w:rsidRPr="004E6665">
        <w:t>preţurilor</w:t>
      </w:r>
      <w:proofErr w:type="spellEnd"/>
      <w:r w:rsidRPr="004E6665">
        <w:t xml:space="preserve"> şi tarifelor la bunuri şi servicii cu preţuri reglementate, a condiţiilor climaterice nefavorabile care au afectat oferta de produse alimentare, modificărilor de </w:t>
      </w:r>
      <w:proofErr w:type="spellStart"/>
      <w:r w:rsidRPr="004E6665">
        <w:t>preţ</w:t>
      </w:r>
      <w:proofErr w:type="spellEnd"/>
      <w:r w:rsidRPr="004E6665">
        <w:t xml:space="preserve"> la unele produse sezoniere şi a </w:t>
      </w:r>
      <w:proofErr w:type="spellStart"/>
      <w:r w:rsidRPr="004E6665">
        <w:t>variaţiilor</w:t>
      </w:r>
      <w:proofErr w:type="spellEnd"/>
      <w:r w:rsidRPr="004E6665">
        <w:t xml:space="preserve"> </w:t>
      </w:r>
      <w:proofErr w:type="spellStart"/>
      <w:r w:rsidRPr="004E6665">
        <w:t>preţurilor</w:t>
      </w:r>
      <w:proofErr w:type="spellEnd"/>
      <w:r w:rsidRPr="004E6665">
        <w:t xml:space="preserve"> internaţionale la combustibili.</w:t>
      </w:r>
    </w:p>
  </w:footnote>
  <w:footnote w:id="2">
    <w:p w:rsidR="007B5DE1" w:rsidRDefault="007B5DE1" w:rsidP="007F2051">
      <w:pPr>
        <w:pStyle w:val="FootnoteText"/>
        <w:jc w:val="both"/>
        <w:rPr>
          <w:rFonts w:ascii="Calibri Light" w:hAnsi="Calibri Light"/>
          <w:sz w:val="19"/>
          <w:szCs w:val="19"/>
        </w:rPr>
      </w:pPr>
      <w:r>
        <w:rPr>
          <w:rStyle w:val="FootnoteReference"/>
          <w:rFonts w:ascii="Calibri Light" w:hAnsi="Calibri Light"/>
          <w:sz w:val="19"/>
          <w:szCs w:val="19"/>
        </w:rPr>
        <w:footnoteRef/>
      </w:r>
      <w:r>
        <w:rPr>
          <w:rFonts w:ascii="Calibri Light" w:hAnsi="Calibri Light"/>
          <w:sz w:val="19"/>
          <w:szCs w:val="19"/>
        </w:rPr>
        <w:t xml:space="preserve"> </w:t>
      </w:r>
      <w:r>
        <w:rPr>
          <w:rFonts w:ascii="Calibri Light" w:hAnsi="Calibri Light"/>
          <w:b/>
          <w:sz w:val="19"/>
          <w:szCs w:val="19"/>
        </w:rPr>
        <w:t>Construcțiile inginerești</w:t>
      </w:r>
      <w:r>
        <w:rPr>
          <w:rFonts w:ascii="Calibri Light" w:hAnsi="Calibri Light"/>
          <w:sz w:val="19"/>
          <w:szCs w:val="19"/>
        </w:rPr>
        <w:t xml:space="preserve"> sunt definite ca construcţii care au ca scop crearea condiţiilor pentru realizarea activităţilor de producţie, prestare servicii, desfășurarea activităților social-culturale. La ele se referă drumurile, străzile, rețelele de alimentare cu apă şi canalizare, căile ferate, podurile, sistemele de încălzire, irigație,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DE1" w:rsidRDefault="007B5DE1" w:rsidP="0078340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7B5DE1" w:rsidRDefault="007B5DE1" w:rsidP="00F8491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DE1" w:rsidRDefault="007B5DE1" w:rsidP="0078340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0ED7">
      <w:rPr>
        <w:rStyle w:val="PageNumber"/>
        <w:noProof/>
      </w:rPr>
      <w:t>21</w:t>
    </w:r>
    <w:r>
      <w:rPr>
        <w:rStyle w:val="PageNumber"/>
      </w:rPr>
      <w:fldChar w:fldCharType="end"/>
    </w:r>
  </w:p>
  <w:p w:rsidR="007B5DE1" w:rsidRDefault="007B5DE1" w:rsidP="0000643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7F43"/>
    <w:multiLevelType w:val="hybridMultilevel"/>
    <w:tmpl w:val="286C3690"/>
    <w:lvl w:ilvl="0" w:tplc="D2BADD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A64BB"/>
    <w:multiLevelType w:val="hybridMultilevel"/>
    <w:tmpl w:val="19563A76"/>
    <w:lvl w:ilvl="0" w:tplc="541E93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E77DC"/>
    <w:multiLevelType w:val="hybridMultilevel"/>
    <w:tmpl w:val="43EC1A50"/>
    <w:lvl w:ilvl="0" w:tplc="BCDA7336">
      <w:start w:val="1"/>
      <w:numFmt w:val="upperRoman"/>
      <w:lvlText w:val="%1."/>
      <w:lvlJc w:val="left"/>
      <w:pPr>
        <w:tabs>
          <w:tab w:val="num" w:pos="3698"/>
        </w:tabs>
        <w:ind w:left="3698" w:hanging="720"/>
      </w:pPr>
      <w:rPr>
        <w:rFonts w:hint="default"/>
      </w:rPr>
    </w:lvl>
    <w:lvl w:ilvl="1" w:tplc="04190019" w:tentative="1">
      <w:start w:val="1"/>
      <w:numFmt w:val="lowerLetter"/>
      <w:lvlText w:val="%2."/>
      <w:lvlJc w:val="left"/>
      <w:pPr>
        <w:tabs>
          <w:tab w:val="num" w:pos="2350"/>
        </w:tabs>
        <w:ind w:left="2350" w:hanging="360"/>
      </w:pPr>
    </w:lvl>
    <w:lvl w:ilvl="2" w:tplc="0419001B" w:tentative="1">
      <w:start w:val="1"/>
      <w:numFmt w:val="lowerRoman"/>
      <w:lvlText w:val="%3."/>
      <w:lvlJc w:val="right"/>
      <w:pPr>
        <w:tabs>
          <w:tab w:val="num" w:pos="3070"/>
        </w:tabs>
        <w:ind w:left="3070" w:hanging="180"/>
      </w:pPr>
    </w:lvl>
    <w:lvl w:ilvl="3" w:tplc="0419000F" w:tentative="1">
      <w:start w:val="1"/>
      <w:numFmt w:val="decimal"/>
      <w:lvlText w:val="%4."/>
      <w:lvlJc w:val="left"/>
      <w:pPr>
        <w:tabs>
          <w:tab w:val="num" w:pos="3790"/>
        </w:tabs>
        <w:ind w:left="3790" w:hanging="360"/>
      </w:pPr>
    </w:lvl>
    <w:lvl w:ilvl="4" w:tplc="04190019" w:tentative="1">
      <w:start w:val="1"/>
      <w:numFmt w:val="lowerLetter"/>
      <w:lvlText w:val="%5."/>
      <w:lvlJc w:val="left"/>
      <w:pPr>
        <w:tabs>
          <w:tab w:val="num" w:pos="4510"/>
        </w:tabs>
        <w:ind w:left="4510" w:hanging="360"/>
      </w:pPr>
    </w:lvl>
    <w:lvl w:ilvl="5" w:tplc="0419001B" w:tentative="1">
      <w:start w:val="1"/>
      <w:numFmt w:val="lowerRoman"/>
      <w:lvlText w:val="%6."/>
      <w:lvlJc w:val="right"/>
      <w:pPr>
        <w:tabs>
          <w:tab w:val="num" w:pos="5230"/>
        </w:tabs>
        <w:ind w:left="5230" w:hanging="180"/>
      </w:pPr>
    </w:lvl>
    <w:lvl w:ilvl="6" w:tplc="0419000F" w:tentative="1">
      <w:start w:val="1"/>
      <w:numFmt w:val="decimal"/>
      <w:lvlText w:val="%7."/>
      <w:lvlJc w:val="left"/>
      <w:pPr>
        <w:tabs>
          <w:tab w:val="num" w:pos="5950"/>
        </w:tabs>
        <w:ind w:left="5950" w:hanging="360"/>
      </w:pPr>
    </w:lvl>
    <w:lvl w:ilvl="7" w:tplc="04190019" w:tentative="1">
      <w:start w:val="1"/>
      <w:numFmt w:val="lowerLetter"/>
      <w:lvlText w:val="%8."/>
      <w:lvlJc w:val="left"/>
      <w:pPr>
        <w:tabs>
          <w:tab w:val="num" w:pos="6670"/>
        </w:tabs>
        <w:ind w:left="6670" w:hanging="360"/>
      </w:pPr>
    </w:lvl>
    <w:lvl w:ilvl="8" w:tplc="0419001B" w:tentative="1">
      <w:start w:val="1"/>
      <w:numFmt w:val="lowerRoman"/>
      <w:lvlText w:val="%9."/>
      <w:lvlJc w:val="right"/>
      <w:pPr>
        <w:tabs>
          <w:tab w:val="num" w:pos="7390"/>
        </w:tabs>
        <w:ind w:left="7390" w:hanging="180"/>
      </w:pPr>
    </w:lvl>
  </w:abstractNum>
  <w:abstractNum w:abstractNumId="3" w15:restartNumberingAfterBreak="0">
    <w:nsid w:val="0C972B76"/>
    <w:multiLevelType w:val="hybridMultilevel"/>
    <w:tmpl w:val="EF2E7D46"/>
    <w:lvl w:ilvl="0" w:tplc="D2BADD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9CC"/>
    <w:multiLevelType w:val="hybridMultilevel"/>
    <w:tmpl w:val="40AED04E"/>
    <w:lvl w:ilvl="0" w:tplc="522001AA">
      <w:numFmt w:val="bullet"/>
      <w:lvlText w:val="-"/>
      <w:lvlJc w:val="left"/>
      <w:pPr>
        <w:ind w:left="720" w:hanging="360"/>
      </w:pPr>
      <w:rPr>
        <w:rFonts w:ascii="Calibri Light" w:eastAsia="Times New Roman" w:hAnsi="Calibri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544487"/>
    <w:multiLevelType w:val="hybridMultilevel"/>
    <w:tmpl w:val="D7B61B76"/>
    <w:lvl w:ilvl="0" w:tplc="541E93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A61E13"/>
    <w:multiLevelType w:val="hybridMultilevel"/>
    <w:tmpl w:val="4F7EF52C"/>
    <w:lvl w:ilvl="0" w:tplc="5964D7FA">
      <w:start w:val="1"/>
      <w:numFmt w:val="upperRoman"/>
      <w:lvlText w:val="%1."/>
      <w:lvlJc w:val="left"/>
      <w:pPr>
        <w:tabs>
          <w:tab w:val="num" w:pos="4770"/>
        </w:tabs>
        <w:ind w:left="4770" w:hanging="720"/>
      </w:pPr>
      <w:rPr>
        <w:rFonts w:hint="default"/>
      </w:rPr>
    </w:lvl>
    <w:lvl w:ilvl="1" w:tplc="04190019" w:tentative="1">
      <w:start w:val="1"/>
      <w:numFmt w:val="lowerLetter"/>
      <w:lvlText w:val="%2."/>
      <w:lvlJc w:val="left"/>
      <w:pPr>
        <w:tabs>
          <w:tab w:val="num" w:pos="2350"/>
        </w:tabs>
        <w:ind w:left="2350" w:hanging="360"/>
      </w:pPr>
    </w:lvl>
    <w:lvl w:ilvl="2" w:tplc="0419001B" w:tentative="1">
      <w:start w:val="1"/>
      <w:numFmt w:val="lowerRoman"/>
      <w:lvlText w:val="%3."/>
      <w:lvlJc w:val="right"/>
      <w:pPr>
        <w:tabs>
          <w:tab w:val="num" w:pos="3070"/>
        </w:tabs>
        <w:ind w:left="3070" w:hanging="180"/>
      </w:pPr>
    </w:lvl>
    <w:lvl w:ilvl="3" w:tplc="0419000F" w:tentative="1">
      <w:start w:val="1"/>
      <w:numFmt w:val="decimal"/>
      <w:lvlText w:val="%4."/>
      <w:lvlJc w:val="left"/>
      <w:pPr>
        <w:tabs>
          <w:tab w:val="num" w:pos="3790"/>
        </w:tabs>
        <w:ind w:left="3790" w:hanging="360"/>
      </w:pPr>
    </w:lvl>
    <w:lvl w:ilvl="4" w:tplc="04190019" w:tentative="1">
      <w:start w:val="1"/>
      <w:numFmt w:val="lowerLetter"/>
      <w:lvlText w:val="%5."/>
      <w:lvlJc w:val="left"/>
      <w:pPr>
        <w:tabs>
          <w:tab w:val="num" w:pos="4510"/>
        </w:tabs>
        <w:ind w:left="4510" w:hanging="360"/>
      </w:pPr>
    </w:lvl>
    <w:lvl w:ilvl="5" w:tplc="0419001B" w:tentative="1">
      <w:start w:val="1"/>
      <w:numFmt w:val="lowerRoman"/>
      <w:lvlText w:val="%6."/>
      <w:lvlJc w:val="right"/>
      <w:pPr>
        <w:tabs>
          <w:tab w:val="num" w:pos="5230"/>
        </w:tabs>
        <w:ind w:left="5230" w:hanging="180"/>
      </w:pPr>
    </w:lvl>
    <w:lvl w:ilvl="6" w:tplc="0419000F" w:tentative="1">
      <w:start w:val="1"/>
      <w:numFmt w:val="decimal"/>
      <w:lvlText w:val="%7."/>
      <w:lvlJc w:val="left"/>
      <w:pPr>
        <w:tabs>
          <w:tab w:val="num" w:pos="5950"/>
        </w:tabs>
        <w:ind w:left="5950" w:hanging="360"/>
      </w:pPr>
    </w:lvl>
    <w:lvl w:ilvl="7" w:tplc="04190019" w:tentative="1">
      <w:start w:val="1"/>
      <w:numFmt w:val="lowerLetter"/>
      <w:lvlText w:val="%8."/>
      <w:lvlJc w:val="left"/>
      <w:pPr>
        <w:tabs>
          <w:tab w:val="num" w:pos="6670"/>
        </w:tabs>
        <w:ind w:left="6670" w:hanging="360"/>
      </w:pPr>
    </w:lvl>
    <w:lvl w:ilvl="8" w:tplc="0419001B" w:tentative="1">
      <w:start w:val="1"/>
      <w:numFmt w:val="lowerRoman"/>
      <w:lvlText w:val="%9."/>
      <w:lvlJc w:val="right"/>
      <w:pPr>
        <w:tabs>
          <w:tab w:val="num" w:pos="7390"/>
        </w:tabs>
        <w:ind w:left="7390" w:hanging="180"/>
      </w:pPr>
    </w:lvl>
  </w:abstractNum>
  <w:abstractNum w:abstractNumId="8" w15:restartNumberingAfterBreak="0">
    <w:nsid w:val="64B2452C"/>
    <w:multiLevelType w:val="hybridMultilevel"/>
    <w:tmpl w:val="4346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449AB"/>
    <w:multiLevelType w:val="hybridMultilevel"/>
    <w:tmpl w:val="19563A76"/>
    <w:lvl w:ilvl="0" w:tplc="541E93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E067CA"/>
    <w:multiLevelType w:val="hybridMultilevel"/>
    <w:tmpl w:val="E59E74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0"/>
  </w:num>
  <w:num w:numId="4">
    <w:abstractNumId w:val="8"/>
  </w:num>
  <w:num w:numId="5">
    <w:abstractNumId w:val="4"/>
  </w:num>
  <w:num w:numId="6">
    <w:abstractNumId w:val="2"/>
  </w:num>
  <w:num w:numId="7">
    <w:abstractNumId w:val="6"/>
  </w:num>
  <w:num w:numId="8">
    <w:abstractNumId w:val="3"/>
  </w:num>
  <w:num w:numId="9">
    <w:abstractNumId w:val="0"/>
  </w:num>
  <w:num w:numId="10">
    <w:abstractNumId w:val="1"/>
  </w:num>
  <w:num w:numId="1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AT"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ED4"/>
    <w:rsid w:val="000001C9"/>
    <w:rsid w:val="0000024B"/>
    <w:rsid w:val="000002D3"/>
    <w:rsid w:val="00000544"/>
    <w:rsid w:val="000006D9"/>
    <w:rsid w:val="00000779"/>
    <w:rsid w:val="000007CC"/>
    <w:rsid w:val="00000954"/>
    <w:rsid w:val="00000ACA"/>
    <w:rsid w:val="00000AD2"/>
    <w:rsid w:val="00000EE5"/>
    <w:rsid w:val="00000F9B"/>
    <w:rsid w:val="0000106D"/>
    <w:rsid w:val="00001206"/>
    <w:rsid w:val="000012D6"/>
    <w:rsid w:val="00001312"/>
    <w:rsid w:val="00001478"/>
    <w:rsid w:val="0000166B"/>
    <w:rsid w:val="000017C1"/>
    <w:rsid w:val="00001917"/>
    <w:rsid w:val="00001BB4"/>
    <w:rsid w:val="00001DB6"/>
    <w:rsid w:val="00001E11"/>
    <w:rsid w:val="00001F0C"/>
    <w:rsid w:val="00001FF7"/>
    <w:rsid w:val="000020BE"/>
    <w:rsid w:val="00002241"/>
    <w:rsid w:val="00002343"/>
    <w:rsid w:val="000024BD"/>
    <w:rsid w:val="000024F2"/>
    <w:rsid w:val="000025AC"/>
    <w:rsid w:val="0000277B"/>
    <w:rsid w:val="00002BA2"/>
    <w:rsid w:val="00002E96"/>
    <w:rsid w:val="00002F91"/>
    <w:rsid w:val="000030EB"/>
    <w:rsid w:val="0000314E"/>
    <w:rsid w:val="00003214"/>
    <w:rsid w:val="000032B4"/>
    <w:rsid w:val="0000343E"/>
    <w:rsid w:val="00003546"/>
    <w:rsid w:val="00003548"/>
    <w:rsid w:val="000037E7"/>
    <w:rsid w:val="00003885"/>
    <w:rsid w:val="00003A65"/>
    <w:rsid w:val="00003BA7"/>
    <w:rsid w:val="00003BE0"/>
    <w:rsid w:val="00003C59"/>
    <w:rsid w:val="00004018"/>
    <w:rsid w:val="00004049"/>
    <w:rsid w:val="00004267"/>
    <w:rsid w:val="000042A2"/>
    <w:rsid w:val="000042C2"/>
    <w:rsid w:val="00004535"/>
    <w:rsid w:val="00004582"/>
    <w:rsid w:val="00004829"/>
    <w:rsid w:val="00004AA5"/>
    <w:rsid w:val="00004BB9"/>
    <w:rsid w:val="00004C51"/>
    <w:rsid w:val="00004F17"/>
    <w:rsid w:val="00005172"/>
    <w:rsid w:val="000051FF"/>
    <w:rsid w:val="00005267"/>
    <w:rsid w:val="0000543D"/>
    <w:rsid w:val="00005634"/>
    <w:rsid w:val="000059F1"/>
    <w:rsid w:val="00005AEF"/>
    <w:rsid w:val="00005EAC"/>
    <w:rsid w:val="00005FC8"/>
    <w:rsid w:val="0000640A"/>
    <w:rsid w:val="00006434"/>
    <w:rsid w:val="000064D5"/>
    <w:rsid w:val="00006948"/>
    <w:rsid w:val="00006C45"/>
    <w:rsid w:val="00006D06"/>
    <w:rsid w:val="00006D7A"/>
    <w:rsid w:val="0000705C"/>
    <w:rsid w:val="00007313"/>
    <w:rsid w:val="00007324"/>
    <w:rsid w:val="00007395"/>
    <w:rsid w:val="000075ED"/>
    <w:rsid w:val="00007724"/>
    <w:rsid w:val="00007A15"/>
    <w:rsid w:val="00007A6E"/>
    <w:rsid w:val="00007C3A"/>
    <w:rsid w:val="00007CF7"/>
    <w:rsid w:val="00007D08"/>
    <w:rsid w:val="00007D70"/>
    <w:rsid w:val="00007E02"/>
    <w:rsid w:val="00007F4D"/>
    <w:rsid w:val="00007FD2"/>
    <w:rsid w:val="0001005B"/>
    <w:rsid w:val="00010130"/>
    <w:rsid w:val="00010662"/>
    <w:rsid w:val="000107EB"/>
    <w:rsid w:val="0001088E"/>
    <w:rsid w:val="00010B2A"/>
    <w:rsid w:val="00010B42"/>
    <w:rsid w:val="00010CA3"/>
    <w:rsid w:val="00010CD0"/>
    <w:rsid w:val="00010E5F"/>
    <w:rsid w:val="00010F0A"/>
    <w:rsid w:val="00011176"/>
    <w:rsid w:val="000111E2"/>
    <w:rsid w:val="00011380"/>
    <w:rsid w:val="000113BA"/>
    <w:rsid w:val="00011492"/>
    <w:rsid w:val="0001150B"/>
    <w:rsid w:val="0001173D"/>
    <w:rsid w:val="00011858"/>
    <w:rsid w:val="00011BBE"/>
    <w:rsid w:val="00011C88"/>
    <w:rsid w:val="00011E1E"/>
    <w:rsid w:val="00011FF2"/>
    <w:rsid w:val="000120DD"/>
    <w:rsid w:val="0001222B"/>
    <w:rsid w:val="000122E1"/>
    <w:rsid w:val="000125A8"/>
    <w:rsid w:val="000125B9"/>
    <w:rsid w:val="0001286A"/>
    <w:rsid w:val="0001292E"/>
    <w:rsid w:val="000129A3"/>
    <w:rsid w:val="00012A86"/>
    <w:rsid w:val="00012B61"/>
    <w:rsid w:val="00012C19"/>
    <w:rsid w:val="00012D0B"/>
    <w:rsid w:val="00012FDD"/>
    <w:rsid w:val="00013055"/>
    <w:rsid w:val="00013473"/>
    <w:rsid w:val="00013550"/>
    <w:rsid w:val="0001358D"/>
    <w:rsid w:val="000135B3"/>
    <w:rsid w:val="0001381C"/>
    <w:rsid w:val="0001383C"/>
    <w:rsid w:val="0001383E"/>
    <w:rsid w:val="00013875"/>
    <w:rsid w:val="00013977"/>
    <w:rsid w:val="00013999"/>
    <w:rsid w:val="00013C7C"/>
    <w:rsid w:val="000143F8"/>
    <w:rsid w:val="000144D3"/>
    <w:rsid w:val="00014652"/>
    <w:rsid w:val="00014689"/>
    <w:rsid w:val="000146BB"/>
    <w:rsid w:val="00014C4A"/>
    <w:rsid w:val="00014E0E"/>
    <w:rsid w:val="00014E4F"/>
    <w:rsid w:val="00015061"/>
    <w:rsid w:val="000150F5"/>
    <w:rsid w:val="0001532F"/>
    <w:rsid w:val="000153BF"/>
    <w:rsid w:val="000156F2"/>
    <w:rsid w:val="0001593D"/>
    <w:rsid w:val="00015A4D"/>
    <w:rsid w:val="00015DCA"/>
    <w:rsid w:val="00015F2D"/>
    <w:rsid w:val="000160FE"/>
    <w:rsid w:val="0001613F"/>
    <w:rsid w:val="000163EE"/>
    <w:rsid w:val="000164DA"/>
    <w:rsid w:val="0001681A"/>
    <w:rsid w:val="00016868"/>
    <w:rsid w:val="0001686E"/>
    <w:rsid w:val="000169FE"/>
    <w:rsid w:val="00016B2F"/>
    <w:rsid w:val="00016B34"/>
    <w:rsid w:val="00016BC5"/>
    <w:rsid w:val="00016F46"/>
    <w:rsid w:val="000170D3"/>
    <w:rsid w:val="000173C0"/>
    <w:rsid w:val="00017582"/>
    <w:rsid w:val="000178E1"/>
    <w:rsid w:val="000178ED"/>
    <w:rsid w:val="0001799E"/>
    <w:rsid w:val="00017A8B"/>
    <w:rsid w:val="00017D90"/>
    <w:rsid w:val="00017E91"/>
    <w:rsid w:val="000200D0"/>
    <w:rsid w:val="0002025F"/>
    <w:rsid w:val="000202AC"/>
    <w:rsid w:val="0002064A"/>
    <w:rsid w:val="00020651"/>
    <w:rsid w:val="00020683"/>
    <w:rsid w:val="00020755"/>
    <w:rsid w:val="0002082B"/>
    <w:rsid w:val="000209DB"/>
    <w:rsid w:val="00020A25"/>
    <w:rsid w:val="00020AD7"/>
    <w:rsid w:val="00020C70"/>
    <w:rsid w:val="00020CA9"/>
    <w:rsid w:val="00020CFB"/>
    <w:rsid w:val="00020D82"/>
    <w:rsid w:val="00020F73"/>
    <w:rsid w:val="00021142"/>
    <w:rsid w:val="000213AE"/>
    <w:rsid w:val="000216EB"/>
    <w:rsid w:val="000219A9"/>
    <w:rsid w:val="00021AFC"/>
    <w:rsid w:val="00021F6F"/>
    <w:rsid w:val="0002212A"/>
    <w:rsid w:val="000221B8"/>
    <w:rsid w:val="000221DA"/>
    <w:rsid w:val="000222B3"/>
    <w:rsid w:val="000224BD"/>
    <w:rsid w:val="00022842"/>
    <w:rsid w:val="00022949"/>
    <w:rsid w:val="00022AB1"/>
    <w:rsid w:val="00022B1D"/>
    <w:rsid w:val="00022C10"/>
    <w:rsid w:val="00022CE6"/>
    <w:rsid w:val="00022DD4"/>
    <w:rsid w:val="00022E69"/>
    <w:rsid w:val="00022E76"/>
    <w:rsid w:val="00022F81"/>
    <w:rsid w:val="00023085"/>
    <w:rsid w:val="00023123"/>
    <w:rsid w:val="00023332"/>
    <w:rsid w:val="0002340C"/>
    <w:rsid w:val="00023520"/>
    <w:rsid w:val="00023660"/>
    <w:rsid w:val="00023668"/>
    <w:rsid w:val="000236B5"/>
    <w:rsid w:val="000237BE"/>
    <w:rsid w:val="0002385E"/>
    <w:rsid w:val="00023878"/>
    <w:rsid w:val="000238AE"/>
    <w:rsid w:val="00023A17"/>
    <w:rsid w:val="00023AC7"/>
    <w:rsid w:val="00023ACC"/>
    <w:rsid w:val="00023B87"/>
    <w:rsid w:val="00023BF8"/>
    <w:rsid w:val="00024099"/>
    <w:rsid w:val="00024114"/>
    <w:rsid w:val="000243B1"/>
    <w:rsid w:val="0002459A"/>
    <w:rsid w:val="00024661"/>
    <w:rsid w:val="000247BA"/>
    <w:rsid w:val="00024B35"/>
    <w:rsid w:val="00024C7B"/>
    <w:rsid w:val="00025035"/>
    <w:rsid w:val="000250FB"/>
    <w:rsid w:val="000251E0"/>
    <w:rsid w:val="000251EA"/>
    <w:rsid w:val="000252E5"/>
    <w:rsid w:val="000253B6"/>
    <w:rsid w:val="000255F2"/>
    <w:rsid w:val="000255F4"/>
    <w:rsid w:val="000258A5"/>
    <w:rsid w:val="00025ACE"/>
    <w:rsid w:val="00025CCA"/>
    <w:rsid w:val="00025E51"/>
    <w:rsid w:val="00025EEF"/>
    <w:rsid w:val="00025EF4"/>
    <w:rsid w:val="00025F0C"/>
    <w:rsid w:val="000260DD"/>
    <w:rsid w:val="000265A1"/>
    <w:rsid w:val="00026950"/>
    <w:rsid w:val="000272DF"/>
    <w:rsid w:val="00027331"/>
    <w:rsid w:val="00027440"/>
    <w:rsid w:val="000276F4"/>
    <w:rsid w:val="00027848"/>
    <w:rsid w:val="0002793E"/>
    <w:rsid w:val="0002797E"/>
    <w:rsid w:val="000279CC"/>
    <w:rsid w:val="00027C52"/>
    <w:rsid w:val="00027E6D"/>
    <w:rsid w:val="00027F4C"/>
    <w:rsid w:val="00027F65"/>
    <w:rsid w:val="00030060"/>
    <w:rsid w:val="000303C0"/>
    <w:rsid w:val="00030605"/>
    <w:rsid w:val="0003068C"/>
    <w:rsid w:val="0003069D"/>
    <w:rsid w:val="000309CB"/>
    <w:rsid w:val="00030A38"/>
    <w:rsid w:val="00030E2E"/>
    <w:rsid w:val="00030E6E"/>
    <w:rsid w:val="00030EB7"/>
    <w:rsid w:val="00030EF4"/>
    <w:rsid w:val="0003115E"/>
    <w:rsid w:val="00031481"/>
    <w:rsid w:val="00031812"/>
    <w:rsid w:val="0003182F"/>
    <w:rsid w:val="0003183C"/>
    <w:rsid w:val="00031CBD"/>
    <w:rsid w:val="00032076"/>
    <w:rsid w:val="000321E7"/>
    <w:rsid w:val="00032277"/>
    <w:rsid w:val="000327A5"/>
    <w:rsid w:val="0003289C"/>
    <w:rsid w:val="000328B7"/>
    <w:rsid w:val="000329CF"/>
    <w:rsid w:val="000329EA"/>
    <w:rsid w:val="00032A69"/>
    <w:rsid w:val="00032AD7"/>
    <w:rsid w:val="00032C80"/>
    <w:rsid w:val="00032C9F"/>
    <w:rsid w:val="00032CA3"/>
    <w:rsid w:val="00032CD6"/>
    <w:rsid w:val="00032D2C"/>
    <w:rsid w:val="00032D86"/>
    <w:rsid w:val="00033143"/>
    <w:rsid w:val="00033533"/>
    <w:rsid w:val="0003367A"/>
    <w:rsid w:val="000337E9"/>
    <w:rsid w:val="00033805"/>
    <w:rsid w:val="0003388D"/>
    <w:rsid w:val="000338C3"/>
    <w:rsid w:val="000339D2"/>
    <w:rsid w:val="00033C71"/>
    <w:rsid w:val="00033E37"/>
    <w:rsid w:val="00033F49"/>
    <w:rsid w:val="00033FA9"/>
    <w:rsid w:val="00033FF2"/>
    <w:rsid w:val="00034047"/>
    <w:rsid w:val="00034050"/>
    <w:rsid w:val="0003438A"/>
    <w:rsid w:val="0003462E"/>
    <w:rsid w:val="00034664"/>
    <w:rsid w:val="000346C2"/>
    <w:rsid w:val="000348C7"/>
    <w:rsid w:val="000348D9"/>
    <w:rsid w:val="00034AE8"/>
    <w:rsid w:val="00034B42"/>
    <w:rsid w:val="00034B47"/>
    <w:rsid w:val="00034CA6"/>
    <w:rsid w:val="00034DB8"/>
    <w:rsid w:val="00034F48"/>
    <w:rsid w:val="00034F50"/>
    <w:rsid w:val="0003513D"/>
    <w:rsid w:val="0003520F"/>
    <w:rsid w:val="00035508"/>
    <w:rsid w:val="00035514"/>
    <w:rsid w:val="000357DE"/>
    <w:rsid w:val="00035A8C"/>
    <w:rsid w:val="00035AA4"/>
    <w:rsid w:val="00035BFB"/>
    <w:rsid w:val="00035E62"/>
    <w:rsid w:val="00035F1E"/>
    <w:rsid w:val="00035FFE"/>
    <w:rsid w:val="00036030"/>
    <w:rsid w:val="000360F1"/>
    <w:rsid w:val="000362D8"/>
    <w:rsid w:val="00036355"/>
    <w:rsid w:val="000363BB"/>
    <w:rsid w:val="00036629"/>
    <w:rsid w:val="000367A5"/>
    <w:rsid w:val="00036856"/>
    <w:rsid w:val="00036878"/>
    <w:rsid w:val="00036B56"/>
    <w:rsid w:val="0003708D"/>
    <w:rsid w:val="000371A2"/>
    <w:rsid w:val="000372B4"/>
    <w:rsid w:val="00037468"/>
    <w:rsid w:val="000375AA"/>
    <w:rsid w:val="000378CF"/>
    <w:rsid w:val="00037A8F"/>
    <w:rsid w:val="00037B56"/>
    <w:rsid w:val="00037CFB"/>
    <w:rsid w:val="00037F12"/>
    <w:rsid w:val="00037F6E"/>
    <w:rsid w:val="000400AB"/>
    <w:rsid w:val="000400B3"/>
    <w:rsid w:val="0004011A"/>
    <w:rsid w:val="000402EB"/>
    <w:rsid w:val="000403BD"/>
    <w:rsid w:val="000407B0"/>
    <w:rsid w:val="0004099C"/>
    <w:rsid w:val="00040AFB"/>
    <w:rsid w:val="00040E44"/>
    <w:rsid w:val="000410ED"/>
    <w:rsid w:val="00041123"/>
    <w:rsid w:val="000414FA"/>
    <w:rsid w:val="0004176C"/>
    <w:rsid w:val="000418DB"/>
    <w:rsid w:val="000419EA"/>
    <w:rsid w:val="00041A6C"/>
    <w:rsid w:val="00041E97"/>
    <w:rsid w:val="00041F5A"/>
    <w:rsid w:val="0004218B"/>
    <w:rsid w:val="0004244B"/>
    <w:rsid w:val="0004265A"/>
    <w:rsid w:val="0004271F"/>
    <w:rsid w:val="00042C34"/>
    <w:rsid w:val="00042C47"/>
    <w:rsid w:val="00042CC2"/>
    <w:rsid w:val="00042F5F"/>
    <w:rsid w:val="00043158"/>
    <w:rsid w:val="0004329F"/>
    <w:rsid w:val="0004335B"/>
    <w:rsid w:val="00043425"/>
    <w:rsid w:val="0004343C"/>
    <w:rsid w:val="00043491"/>
    <w:rsid w:val="00043876"/>
    <w:rsid w:val="00043AFC"/>
    <w:rsid w:val="00043C12"/>
    <w:rsid w:val="00043D7A"/>
    <w:rsid w:val="00043DA9"/>
    <w:rsid w:val="00043E66"/>
    <w:rsid w:val="0004411F"/>
    <w:rsid w:val="0004417A"/>
    <w:rsid w:val="000448FC"/>
    <w:rsid w:val="000449ED"/>
    <w:rsid w:val="000449F1"/>
    <w:rsid w:val="00044B5B"/>
    <w:rsid w:val="00044D24"/>
    <w:rsid w:val="00044E21"/>
    <w:rsid w:val="000450B2"/>
    <w:rsid w:val="0004516D"/>
    <w:rsid w:val="0004527B"/>
    <w:rsid w:val="00045298"/>
    <w:rsid w:val="0004546E"/>
    <w:rsid w:val="000457B0"/>
    <w:rsid w:val="0004586F"/>
    <w:rsid w:val="0004597B"/>
    <w:rsid w:val="0004621E"/>
    <w:rsid w:val="00046318"/>
    <w:rsid w:val="000464EF"/>
    <w:rsid w:val="000467CE"/>
    <w:rsid w:val="00046AB7"/>
    <w:rsid w:val="00046C9A"/>
    <w:rsid w:val="00046D74"/>
    <w:rsid w:val="00046EA6"/>
    <w:rsid w:val="00047317"/>
    <w:rsid w:val="00047382"/>
    <w:rsid w:val="0004741B"/>
    <w:rsid w:val="00047498"/>
    <w:rsid w:val="00047762"/>
    <w:rsid w:val="00047CD1"/>
    <w:rsid w:val="00047DA3"/>
    <w:rsid w:val="00047F74"/>
    <w:rsid w:val="0005023A"/>
    <w:rsid w:val="000504A3"/>
    <w:rsid w:val="000504EB"/>
    <w:rsid w:val="0005055D"/>
    <w:rsid w:val="00050ADE"/>
    <w:rsid w:val="00050D7D"/>
    <w:rsid w:val="00050DB7"/>
    <w:rsid w:val="00050F54"/>
    <w:rsid w:val="00050FFF"/>
    <w:rsid w:val="00051022"/>
    <w:rsid w:val="000512D6"/>
    <w:rsid w:val="00051384"/>
    <w:rsid w:val="0005144B"/>
    <w:rsid w:val="0005160B"/>
    <w:rsid w:val="000516C8"/>
    <w:rsid w:val="000516F0"/>
    <w:rsid w:val="000517B1"/>
    <w:rsid w:val="00051891"/>
    <w:rsid w:val="00051A5D"/>
    <w:rsid w:val="00051C21"/>
    <w:rsid w:val="00051C61"/>
    <w:rsid w:val="00051F2F"/>
    <w:rsid w:val="000520F6"/>
    <w:rsid w:val="00052496"/>
    <w:rsid w:val="0005249B"/>
    <w:rsid w:val="00052792"/>
    <w:rsid w:val="00052803"/>
    <w:rsid w:val="000528F1"/>
    <w:rsid w:val="000529FF"/>
    <w:rsid w:val="00052AA5"/>
    <w:rsid w:val="00052D0C"/>
    <w:rsid w:val="00052DDF"/>
    <w:rsid w:val="00052DF5"/>
    <w:rsid w:val="0005317F"/>
    <w:rsid w:val="00053213"/>
    <w:rsid w:val="000532BA"/>
    <w:rsid w:val="000532C9"/>
    <w:rsid w:val="000534C7"/>
    <w:rsid w:val="00053642"/>
    <w:rsid w:val="0005386D"/>
    <w:rsid w:val="00053AD2"/>
    <w:rsid w:val="00053BC7"/>
    <w:rsid w:val="00054050"/>
    <w:rsid w:val="00054291"/>
    <w:rsid w:val="000544A1"/>
    <w:rsid w:val="000545C7"/>
    <w:rsid w:val="000546A0"/>
    <w:rsid w:val="00054710"/>
    <w:rsid w:val="00054732"/>
    <w:rsid w:val="000548D9"/>
    <w:rsid w:val="00054BB7"/>
    <w:rsid w:val="00054C9C"/>
    <w:rsid w:val="00054D46"/>
    <w:rsid w:val="00054E27"/>
    <w:rsid w:val="00055021"/>
    <w:rsid w:val="000551B2"/>
    <w:rsid w:val="0005523C"/>
    <w:rsid w:val="000552E4"/>
    <w:rsid w:val="000552FE"/>
    <w:rsid w:val="00055431"/>
    <w:rsid w:val="0005549C"/>
    <w:rsid w:val="000554E6"/>
    <w:rsid w:val="00055817"/>
    <w:rsid w:val="0005584F"/>
    <w:rsid w:val="000558E8"/>
    <w:rsid w:val="00055A3B"/>
    <w:rsid w:val="00055D40"/>
    <w:rsid w:val="00055E68"/>
    <w:rsid w:val="00055F18"/>
    <w:rsid w:val="00055FD7"/>
    <w:rsid w:val="00056212"/>
    <w:rsid w:val="000565DB"/>
    <w:rsid w:val="00056726"/>
    <w:rsid w:val="000567D4"/>
    <w:rsid w:val="0005681C"/>
    <w:rsid w:val="00056BAA"/>
    <w:rsid w:val="00056E08"/>
    <w:rsid w:val="00056F69"/>
    <w:rsid w:val="00056FCA"/>
    <w:rsid w:val="0005715A"/>
    <w:rsid w:val="00057475"/>
    <w:rsid w:val="00057547"/>
    <w:rsid w:val="000576CD"/>
    <w:rsid w:val="000576EF"/>
    <w:rsid w:val="000601AE"/>
    <w:rsid w:val="000604B5"/>
    <w:rsid w:val="0006066E"/>
    <w:rsid w:val="00060678"/>
    <w:rsid w:val="00060BCB"/>
    <w:rsid w:val="00060BD4"/>
    <w:rsid w:val="00060CFD"/>
    <w:rsid w:val="00060E2B"/>
    <w:rsid w:val="00060F12"/>
    <w:rsid w:val="00060FA5"/>
    <w:rsid w:val="00060FC9"/>
    <w:rsid w:val="000613C7"/>
    <w:rsid w:val="00061474"/>
    <w:rsid w:val="000615AF"/>
    <w:rsid w:val="00061B8B"/>
    <w:rsid w:val="00061E40"/>
    <w:rsid w:val="00061FED"/>
    <w:rsid w:val="000620F1"/>
    <w:rsid w:val="0006212D"/>
    <w:rsid w:val="0006239A"/>
    <w:rsid w:val="000625F7"/>
    <w:rsid w:val="00062652"/>
    <w:rsid w:val="0006269F"/>
    <w:rsid w:val="00062743"/>
    <w:rsid w:val="00062B5B"/>
    <w:rsid w:val="00062B85"/>
    <w:rsid w:val="00062FAA"/>
    <w:rsid w:val="0006306C"/>
    <w:rsid w:val="00063243"/>
    <w:rsid w:val="000632B9"/>
    <w:rsid w:val="00063758"/>
    <w:rsid w:val="00063807"/>
    <w:rsid w:val="00063CA1"/>
    <w:rsid w:val="00063D18"/>
    <w:rsid w:val="00063E25"/>
    <w:rsid w:val="00064055"/>
    <w:rsid w:val="00064076"/>
    <w:rsid w:val="000641C4"/>
    <w:rsid w:val="000644FA"/>
    <w:rsid w:val="0006454C"/>
    <w:rsid w:val="000645E2"/>
    <w:rsid w:val="000646FB"/>
    <w:rsid w:val="00064815"/>
    <w:rsid w:val="00064903"/>
    <w:rsid w:val="00064908"/>
    <w:rsid w:val="00064AD0"/>
    <w:rsid w:val="00064AF9"/>
    <w:rsid w:val="00064B69"/>
    <w:rsid w:val="00064CD6"/>
    <w:rsid w:val="00064E5B"/>
    <w:rsid w:val="00065100"/>
    <w:rsid w:val="00065149"/>
    <w:rsid w:val="000651BA"/>
    <w:rsid w:val="00065407"/>
    <w:rsid w:val="00065726"/>
    <w:rsid w:val="000657CD"/>
    <w:rsid w:val="0006593E"/>
    <w:rsid w:val="00065BCD"/>
    <w:rsid w:val="00066064"/>
    <w:rsid w:val="000660D9"/>
    <w:rsid w:val="000663D7"/>
    <w:rsid w:val="000663F9"/>
    <w:rsid w:val="00066597"/>
    <w:rsid w:val="000665BE"/>
    <w:rsid w:val="0006661C"/>
    <w:rsid w:val="00066625"/>
    <w:rsid w:val="0006675C"/>
    <w:rsid w:val="00066C6D"/>
    <w:rsid w:val="00066E41"/>
    <w:rsid w:val="00066E60"/>
    <w:rsid w:val="00066F1E"/>
    <w:rsid w:val="00066FFC"/>
    <w:rsid w:val="00067364"/>
    <w:rsid w:val="00067492"/>
    <w:rsid w:val="00067912"/>
    <w:rsid w:val="0006799B"/>
    <w:rsid w:val="000679BD"/>
    <w:rsid w:val="00067A13"/>
    <w:rsid w:val="00067AA7"/>
    <w:rsid w:val="00067E33"/>
    <w:rsid w:val="00067FBF"/>
    <w:rsid w:val="00070116"/>
    <w:rsid w:val="000701B9"/>
    <w:rsid w:val="00070253"/>
    <w:rsid w:val="00070444"/>
    <w:rsid w:val="00070565"/>
    <w:rsid w:val="0007069D"/>
    <w:rsid w:val="000708E9"/>
    <w:rsid w:val="00070902"/>
    <w:rsid w:val="00070907"/>
    <w:rsid w:val="0007092F"/>
    <w:rsid w:val="00070986"/>
    <w:rsid w:val="00070A75"/>
    <w:rsid w:val="00070A89"/>
    <w:rsid w:val="00070D60"/>
    <w:rsid w:val="000710BD"/>
    <w:rsid w:val="000711C7"/>
    <w:rsid w:val="00071369"/>
    <w:rsid w:val="0007155E"/>
    <w:rsid w:val="000715E6"/>
    <w:rsid w:val="000717A3"/>
    <w:rsid w:val="000718EA"/>
    <w:rsid w:val="00071BD7"/>
    <w:rsid w:val="00071C90"/>
    <w:rsid w:val="00071C9F"/>
    <w:rsid w:val="00071EFD"/>
    <w:rsid w:val="000721F5"/>
    <w:rsid w:val="000722F3"/>
    <w:rsid w:val="00072402"/>
    <w:rsid w:val="00072D9F"/>
    <w:rsid w:val="00072DBA"/>
    <w:rsid w:val="00072EAA"/>
    <w:rsid w:val="00072EF8"/>
    <w:rsid w:val="0007301F"/>
    <w:rsid w:val="000731E5"/>
    <w:rsid w:val="00073271"/>
    <w:rsid w:val="000732BA"/>
    <w:rsid w:val="000734E6"/>
    <w:rsid w:val="000736CE"/>
    <w:rsid w:val="000738BF"/>
    <w:rsid w:val="000738E3"/>
    <w:rsid w:val="00073BDB"/>
    <w:rsid w:val="00073C2C"/>
    <w:rsid w:val="00073C44"/>
    <w:rsid w:val="00073F87"/>
    <w:rsid w:val="00073FBF"/>
    <w:rsid w:val="0007406A"/>
    <w:rsid w:val="00074191"/>
    <w:rsid w:val="00074435"/>
    <w:rsid w:val="000748B4"/>
    <w:rsid w:val="000748CE"/>
    <w:rsid w:val="000748ED"/>
    <w:rsid w:val="000749BA"/>
    <w:rsid w:val="00074AFB"/>
    <w:rsid w:val="00074BD8"/>
    <w:rsid w:val="00074BDA"/>
    <w:rsid w:val="00074D55"/>
    <w:rsid w:val="00074D7E"/>
    <w:rsid w:val="00075024"/>
    <w:rsid w:val="000750C2"/>
    <w:rsid w:val="000751C5"/>
    <w:rsid w:val="000752BB"/>
    <w:rsid w:val="00075555"/>
    <w:rsid w:val="000755DB"/>
    <w:rsid w:val="00075734"/>
    <w:rsid w:val="00075BED"/>
    <w:rsid w:val="00075E57"/>
    <w:rsid w:val="00076098"/>
    <w:rsid w:val="00076165"/>
    <w:rsid w:val="0007634C"/>
    <w:rsid w:val="0007647D"/>
    <w:rsid w:val="000764C4"/>
    <w:rsid w:val="000765A5"/>
    <w:rsid w:val="00076782"/>
    <w:rsid w:val="00076906"/>
    <w:rsid w:val="00076954"/>
    <w:rsid w:val="00076AC0"/>
    <w:rsid w:val="00076D11"/>
    <w:rsid w:val="00076DD1"/>
    <w:rsid w:val="00076F5B"/>
    <w:rsid w:val="00076FC2"/>
    <w:rsid w:val="0007707B"/>
    <w:rsid w:val="00077233"/>
    <w:rsid w:val="00077428"/>
    <w:rsid w:val="000777E2"/>
    <w:rsid w:val="000779B9"/>
    <w:rsid w:val="00077ACC"/>
    <w:rsid w:val="00077AE0"/>
    <w:rsid w:val="00077AFF"/>
    <w:rsid w:val="00077D13"/>
    <w:rsid w:val="00080094"/>
    <w:rsid w:val="0008012C"/>
    <w:rsid w:val="000801A8"/>
    <w:rsid w:val="00080217"/>
    <w:rsid w:val="00080302"/>
    <w:rsid w:val="000807E3"/>
    <w:rsid w:val="000808E9"/>
    <w:rsid w:val="00080970"/>
    <w:rsid w:val="00080F1C"/>
    <w:rsid w:val="000814D0"/>
    <w:rsid w:val="00081633"/>
    <w:rsid w:val="000816AE"/>
    <w:rsid w:val="00081790"/>
    <w:rsid w:val="000818C7"/>
    <w:rsid w:val="00081AFE"/>
    <w:rsid w:val="00081B06"/>
    <w:rsid w:val="00081B7E"/>
    <w:rsid w:val="00081C7F"/>
    <w:rsid w:val="000821EC"/>
    <w:rsid w:val="000823E1"/>
    <w:rsid w:val="00082929"/>
    <w:rsid w:val="00082ABA"/>
    <w:rsid w:val="00082DCB"/>
    <w:rsid w:val="00082DE1"/>
    <w:rsid w:val="00082F29"/>
    <w:rsid w:val="00082F64"/>
    <w:rsid w:val="00083188"/>
    <w:rsid w:val="000831E4"/>
    <w:rsid w:val="000832B4"/>
    <w:rsid w:val="00083580"/>
    <w:rsid w:val="00083644"/>
    <w:rsid w:val="00083675"/>
    <w:rsid w:val="0008383A"/>
    <w:rsid w:val="000838A8"/>
    <w:rsid w:val="00083BC8"/>
    <w:rsid w:val="00083DF3"/>
    <w:rsid w:val="0008421C"/>
    <w:rsid w:val="0008431A"/>
    <w:rsid w:val="00084379"/>
    <w:rsid w:val="000843DC"/>
    <w:rsid w:val="0008451F"/>
    <w:rsid w:val="000847BE"/>
    <w:rsid w:val="0008496F"/>
    <w:rsid w:val="00084A08"/>
    <w:rsid w:val="00084AB2"/>
    <w:rsid w:val="00084C83"/>
    <w:rsid w:val="00085307"/>
    <w:rsid w:val="0008533A"/>
    <w:rsid w:val="0008535B"/>
    <w:rsid w:val="00085650"/>
    <w:rsid w:val="00085776"/>
    <w:rsid w:val="000857A9"/>
    <w:rsid w:val="00085A60"/>
    <w:rsid w:val="00086053"/>
    <w:rsid w:val="0008605C"/>
    <w:rsid w:val="0008608D"/>
    <w:rsid w:val="000861AD"/>
    <w:rsid w:val="00086235"/>
    <w:rsid w:val="00086446"/>
    <w:rsid w:val="00086602"/>
    <w:rsid w:val="000866C9"/>
    <w:rsid w:val="00086724"/>
    <w:rsid w:val="00086B34"/>
    <w:rsid w:val="00086B35"/>
    <w:rsid w:val="00086B7B"/>
    <w:rsid w:val="00086F3D"/>
    <w:rsid w:val="00086FD5"/>
    <w:rsid w:val="00086FF9"/>
    <w:rsid w:val="0008717F"/>
    <w:rsid w:val="000873C5"/>
    <w:rsid w:val="00087679"/>
    <w:rsid w:val="000876F1"/>
    <w:rsid w:val="00087A7B"/>
    <w:rsid w:val="00087BC4"/>
    <w:rsid w:val="00087CB0"/>
    <w:rsid w:val="00087CCA"/>
    <w:rsid w:val="00087CCF"/>
    <w:rsid w:val="00087CF5"/>
    <w:rsid w:val="00087D3D"/>
    <w:rsid w:val="00087D67"/>
    <w:rsid w:val="00087EC0"/>
    <w:rsid w:val="0009035D"/>
    <w:rsid w:val="0009089E"/>
    <w:rsid w:val="00090A4F"/>
    <w:rsid w:val="00090F6C"/>
    <w:rsid w:val="000914D3"/>
    <w:rsid w:val="0009153C"/>
    <w:rsid w:val="00091A66"/>
    <w:rsid w:val="00091B76"/>
    <w:rsid w:val="00091CB4"/>
    <w:rsid w:val="00091CBE"/>
    <w:rsid w:val="000921C7"/>
    <w:rsid w:val="0009227F"/>
    <w:rsid w:val="00092418"/>
    <w:rsid w:val="00092442"/>
    <w:rsid w:val="00092884"/>
    <w:rsid w:val="00092900"/>
    <w:rsid w:val="00092A3D"/>
    <w:rsid w:val="00092C29"/>
    <w:rsid w:val="00092D15"/>
    <w:rsid w:val="00092DA8"/>
    <w:rsid w:val="00092E50"/>
    <w:rsid w:val="00092F0C"/>
    <w:rsid w:val="000930A5"/>
    <w:rsid w:val="00093112"/>
    <w:rsid w:val="0009320E"/>
    <w:rsid w:val="0009345B"/>
    <w:rsid w:val="00093749"/>
    <w:rsid w:val="0009389E"/>
    <w:rsid w:val="00093B5B"/>
    <w:rsid w:val="00093CC5"/>
    <w:rsid w:val="000940BF"/>
    <w:rsid w:val="00094101"/>
    <w:rsid w:val="00094344"/>
    <w:rsid w:val="0009435D"/>
    <w:rsid w:val="000943BA"/>
    <w:rsid w:val="000945F3"/>
    <w:rsid w:val="000945F5"/>
    <w:rsid w:val="00094611"/>
    <w:rsid w:val="0009474C"/>
    <w:rsid w:val="00094830"/>
    <w:rsid w:val="000949B7"/>
    <w:rsid w:val="00094A0D"/>
    <w:rsid w:val="00094AAD"/>
    <w:rsid w:val="00094BAB"/>
    <w:rsid w:val="00094BE9"/>
    <w:rsid w:val="00094F92"/>
    <w:rsid w:val="00095157"/>
    <w:rsid w:val="000953A2"/>
    <w:rsid w:val="000953CB"/>
    <w:rsid w:val="000954DD"/>
    <w:rsid w:val="000957AC"/>
    <w:rsid w:val="000957D8"/>
    <w:rsid w:val="00095936"/>
    <w:rsid w:val="00095A0F"/>
    <w:rsid w:val="00095BA9"/>
    <w:rsid w:val="00095C1D"/>
    <w:rsid w:val="00095CA9"/>
    <w:rsid w:val="0009603A"/>
    <w:rsid w:val="00096587"/>
    <w:rsid w:val="0009669B"/>
    <w:rsid w:val="000966D8"/>
    <w:rsid w:val="0009677E"/>
    <w:rsid w:val="000967BC"/>
    <w:rsid w:val="0009686F"/>
    <w:rsid w:val="00096875"/>
    <w:rsid w:val="00096B24"/>
    <w:rsid w:val="00096D4E"/>
    <w:rsid w:val="00096D8F"/>
    <w:rsid w:val="00096E76"/>
    <w:rsid w:val="000971B9"/>
    <w:rsid w:val="000971D5"/>
    <w:rsid w:val="000974B5"/>
    <w:rsid w:val="000975FF"/>
    <w:rsid w:val="000976C0"/>
    <w:rsid w:val="0009777B"/>
    <w:rsid w:val="000978B9"/>
    <w:rsid w:val="00097B5B"/>
    <w:rsid w:val="00097C20"/>
    <w:rsid w:val="00097D24"/>
    <w:rsid w:val="00097DE5"/>
    <w:rsid w:val="00097F4D"/>
    <w:rsid w:val="000A0013"/>
    <w:rsid w:val="000A0046"/>
    <w:rsid w:val="000A0111"/>
    <w:rsid w:val="000A014A"/>
    <w:rsid w:val="000A0183"/>
    <w:rsid w:val="000A07E1"/>
    <w:rsid w:val="000A0A6E"/>
    <w:rsid w:val="000A0F1A"/>
    <w:rsid w:val="000A0F7A"/>
    <w:rsid w:val="000A0F9A"/>
    <w:rsid w:val="000A101A"/>
    <w:rsid w:val="000A1161"/>
    <w:rsid w:val="000A1208"/>
    <w:rsid w:val="000A1237"/>
    <w:rsid w:val="000A142D"/>
    <w:rsid w:val="000A1580"/>
    <w:rsid w:val="000A1590"/>
    <w:rsid w:val="000A15C5"/>
    <w:rsid w:val="000A1934"/>
    <w:rsid w:val="000A1BDE"/>
    <w:rsid w:val="000A1E25"/>
    <w:rsid w:val="000A1E27"/>
    <w:rsid w:val="000A1E3D"/>
    <w:rsid w:val="000A2111"/>
    <w:rsid w:val="000A2115"/>
    <w:rsid w:val="000A2156"/>
    <w:rsid w:val="000A2411"/>
    <w:rsid w:val="000A259A"/>
    <w:rsid w:val="000A273A"/>
    <w:rsid w:val="000A2886"/>
    <w:rsid w:val="000A28B5"/>
    <w:rsid w:val="000A2939"/>
    <w:rsid w:val="000A2C31"/>
    <w:rsid w:val="000A2C3C"/>
    <w:rsid w:val="000A311F"/>
    <w:rsid w:val="000A31BA"/>
    <w:rsid w:val="000A3243"/>
    <w:rsid w:val="000A3391"/>
    <w:rsid w:val="000A3412"/>
    <w:rsid w:val="000A344B"/>
    <w:rsid w:val="000A3C10"/>
    <w:rsid w:val="000A440C"/>
    <w:rsid w:val="000A4446"/>
    <w:rsid w:val="000A4616"/>
    <w:rsid w:val="000A4665"/>
    <w:rsid w:val="000A48B0"/>
    <w:rsid w:val="000A4B0F"/>
    <w:rsid w:val="000A4B78"/>
    <w:rsid w:val="000A4C92"/>
    <w:rsid w:val="000A4D00"/>
    <w:rsid w:val="000A4FB9"/>
    <w:rsid w:val="000A5023"/>
    <w:rsid w:val="000A5158"/>
    <w:rsid w:val="000A5526"/>
    <w:rsid w:val="000A564E"/>
    <w:rsid w:val="000A5A02"/>
    <w:rsid w:val="000A5A5A"/>
    <w:rsid w:val="000A5A73"/>
    <w:rsid w:val="000A5BA1"/>
    <w:rsid w:val="000A5C2F"/>
    <w:rsid w:val="000A5CA1"/>
    <w:rsid w:val="000A5F11"/>
    <w:rsid w:val="000A5F65"/>
    <w:rsid w:val="000A5FF4"/>
    <w:rsid w:val="000A609B"/>
    <w:rsid w:val="000A6145"/>
    <w:rsid w:val="000A61BA"/>
    <w:rsid w:val="000A6467"/>
    <w:rsid w:val="000A649D"/>
    <w:rsid w:val="000A64B3"/>
    <w:rsid w:val="000A64F5"/>
    <w:rsid w:val="000A64FE"/>
    <w:rsid w:val="000A6692"/>
    <w:rsid w:val="000A66E9"/>
    <w:rsid w:val="000A66F6"/>
    <w:rsid w:val="000A673E"/>
    <w:rsid w:val="000A67BE"/>
    <w:rsid w:val="000A6A48"/>
    <w:rsid w:val="000A6D06"/>
    <w:rsid w:val="000A6DA6"/>
    <w:rsid w:val="000A6E5C"/>
    <w:rsid w:val="000A6F47"/>
    <w:rsid w:val="000A70A2"/>
    <w:rsid w:val="000A7311"/>
    <w:rsid w:val="000A74C9"/>
    <w:rsid w:val="000A781D"/>
    <w:rsid w:val="000A786C"/>
    <w:rsid w:val="000A7916"/>
    <w:rsid w:val="000A79B2"/>
    <w:rsid w:val="000A7A34"/>
    <w:rsid w:val="000A7DD5"/>
    <w:rsid w:val="000B01D3"/>
    <w:rsid w:val="000B0247"/>
    <w:rsid w:val="000B02FC"/>
    <w:rsid w:val="000B059C"/>
    <w:rsid w:val="000B0A0F"/>
    <w:rsid w:val="000B0B25"/>
    <w:rsid w:val="000B0C39"/>
    <w:rsid w:val="000B0EE9"/>
    <w:rsid w:val="000B0FEB"/>
    <w:rsid w:val="000B1199"/>
    <w:rsid w:val="000B1264"/>
    <w:rsid w:val="000B12C6"/>
    <w:rsid w:val="000B1315"/>
    <w:rsid w:val="000B1319"/>
    <w:rsid w:val="000B1551"/>
    <w:rsid w:val="000B15FA"/>
    <w:rsid w:val="000B16D6"/>
    <w:rsid w:val="000B1777"/>
    <w:rsid w:val="000B178C"/>
    <w:rsid w:val="000B1920"/>
    <w:rsid w:val="000B198D"/>
    <w:rsid w:val="000B1DF3"/>
    <w:rsid w:val="000B21C8"/>
    <w:rsid w:val="000B230E"/>
    <w:rsid w:val="000B2570"/>
    <w:rsid w:val="000B265D"/>
    <w:rsid w:val="000B26EA"/>
    <w:rsid w:val="000B2897"/>
    <w:rsid w:val="000B28B1"/>
    <w:rsid w:val="000B28DF"/>
    <w:rsid w:val="000B28E2"/>
    <w:rsid w:val="000B299F"/>
    <w:rsid w:val="000B2E67"/>
    <w:rsid w:val="000B30F2"/>
    <w:rsid w:val="000B3479"/>
    <w:rsid w:val="000B34A1"/>
    <w:rsid w:val="000B3762"/>
    <w:rsid w:val="000B3AA1"/>
    <w:rsid w:val="000B3AFB"/>
    <w:rsid w:val="000B3BAE"/>
    <w:rsid w:val="000B3D35"/>
    <w:rsid w:val="000B3DB2"/>
    <w:rsid w:val="000B4021"/>
    <w:rsid w:val="000B4269"/>
    <w:rsid w:val="000B4399"/>
    <w:rsid w:val="000B43EF"/>
    <w:rsid w:val="000B4528"/>
    <w:rsid w:val="000B4529"/>
    <w:rsid w:val="000B46E9"/>
    <w:rsid w:val="000B49E4"/>
    <w:rsid w:val="000B4BCA"/>
    <w:rsid w:val="000B52A5"/>
    <w:rsid w:val="000B5366"/>
    <w:rsid w:val="000B539C"/>
    <w:rsid w:val="000B5552"/>
    <w:rsid w:val="000B5925"/>
    <w:rsid w:val="000B5B00"/>
    <w:rsid w:val="000B5BF3"/>
    <w:rsid w:val="000B5D17"/>
    <w:rsid w:val="000B5DA0"/>
    <w:rsid w:val="000B5DA1"/>
    <w:rsid w:val="000B5E03"/>
    <w:rsid w:val="000B5F09"/>
    <w:rsid w:val="000B6102"/>
    <w:rsid w:val="000B610B"/>
    <w:rsid w:val="000B6111"/>
    <w:rsid w:val="000B61EC"/>
    <w:rsid w:val="000B64F1"/>
    <w:rsid w:val="000B6517"/>
    <w:rsid w:val="000B6817"/>
    <w:rsid w:val="000B6CE6"/>
    <w:rsid w:val="000B6FF4"/>
    <w:rsid w:val="000B70FD"/>
    <w:rsid w:val="000B735B"/>
    <w:rsid w:val="000B7652"/>
    <w:rsid w:val="000B7665"/>
    <w:rsid w:val="000B7694"/>
    <w:rsid w:val="000B76F6"/>
    <w:rsid w:val="000B7BD1"/>
    <w:rsid w:val="000B7DF4"/>
    <w:rsid w:val="000B7EF3"/>
    <w:rsid w:val="000C008A"/>
    <w:rsid w:val="000C03F2"/>
    <w:rsid w:val="000C07EC"/>
    <w:rsid w:val="000C08CB"/>
    <w:rsid w:val="000C08DF"/>
    <w:rsid w:val="000C0970"/>
    <w:rsid w:val="000C0F96"/>
    <w:rsid w:val="000C11CD"/>
    <w:rsid w:val="000C139D"/>
    <w:rsid w:val="000C1462"/>
    <w:rsid w:val="000C169F"/>
    <w:rsid w:val="000C18A0"/>
    <w:rsid w:val="000C1AE6"/>
    <w:rsid w:val="000C1C8D"/>
    <w:rsid w:val="000C2166"/>
    <w:rsid w:val="000C2372"/>
    <w:rsid w:val="000C252D"/>
    <w:rsid w:val="000C2564"/>
    <w:rsid w:val="000C258F"/>
    <w:rsid w:val="000C25B2"/>
    <w:rsid w:val="000C2859"/>
    <w:rsid w:val="000C2A05"/>
    <w:rsid w:val="000C3243"/>
    <w:rsid w:val="000C33C8"/>
    <w:rsid w:val="000C3447"/>
    <w:rsid w:val="000C36C0"/>
    <w:rsid w:val="000C37D2"/>
    <w:rsid w:val="000C39F4"/>
    <w:rsid w:val="000C3A5D"/>
    <w:rsid w:val="000C3D35"/>
    <w:rsid w:val="000C3F8E"/>
    <w:rsid w:val="000C3FDA"/>
    <w:rsid w:val="000C41CF"/>
    <w:rsid w:val="000C4208"/>
    <w:rsid w:val="000C44AB"/>
    <w:rsid w:val="000C4611"/>
    <w:rsid w:val="000C4728"/>
    <w:rsid w:val="000C479E"/>
    <w:rsid w:val="000C4886"/>
    <w:rsid w:val="000C49CE"/>
    <w:rsid w:val="000C4AD8"/>
    <w:rsid w:val="000C4C3A"/>
    <w:rsid w:val="000C4D1D"/>
    <w:rsid w:val="000C4EE6"/>
    <w:rsid w:val="000C4F55"/>
    <w:rsid w:val="000C5241"/>
    <w:rsid w:val="000C5319"/>
    <w:rsid w:val="000C5566"/>
    <w:rsid w:val="000C56AB"/>
    <w:rsid w:val="000C5B35"/>
    <w:rsid w:val="000C5CC6"/>
    <w:rsid w:val="000C6012"/>
    <w:rsid w:val="000C64DB"/>
    <w:rsid w:val="000C6567"/>
    <w:rsid w:val="000C66EF"/>
    <w:rsid w:val="000C6CE0"/>
    <w:rsid w:val="000C6DCC"/>
    <w:rsid w:val="000C6E70"/>
    <w:rsid w:val="000C7272"/>
    <w:rsid w:val="000C7323"/>
    <w:rsid w:val="000C739C"/>
    <w:rsid w:val="000C7402"/>
    <w:rsid w:val="000C76EE"/>
    <w:rsid w:val="000C78BE"/>
    <w:rsid w:val="000C7AB0"/>
    <w:rsid w:val="000C7B40"/>
    <w:rsid w:val="000C7C84"/>
    <w:rsid w:val="000C7E07"/>
    <w:rsid w:val="000C7F74"/>
    <w:rsid w:val="000D033F"/>
    <w:rsid w:val="000D0491"/>
    <w:rsid w:val="000D071C"/>
    <w:rsid w:val="000D072C"/>
    <w:rsid w:val="000D0AFB"/>
    <w:rsid w:val="000D0BC7"/>
    <w:rsid w:val="000D0C64"/>
    <w:rsid w:val="000D0DD2"/>
    <w:rsid w:val="000D0EF9"/>
    <w:rsid w:val="000D1073"/>
    <w:rsid w:val="000D1097"/>
    <w:rsid w:val="000D117E"/>
    <w:rsid w:val="000D12E0"/>
    <w:rsid w:val="000D1346"/>
    <w:rsid w:val="000D13B0"/>
    <w:rsid w:val="000D14B5"/>
    <w:rsid w:val="000D154C"/>
    <w:rsid w:val="000D1734"/>
    <w:rsid w:val="000D1A8E"/>
    <w:rsid w:val="000D1BA6"/>
    <w:rsid w:val="000D1E2E"/>
    <w:rsid w:val="000D1E5E"/>
    <w:rsid w:val="000D233C"/>
    <w:rsid w:val="000D2565"/>
    <w:rsid w:val="000D2571"/>
    <w:rsid w:val="000D26DB"/>
    <w:rsid w:val="000D27DD"/>
    <w:rsid w:val="000D28A4"/>
    <w:rsid w:val="000D28BD"/>
    <w:rsid w:val="000D28E7"/>
    <w:rsid w:val="000D28EE"/>
    <w:rsid w:val="000D2A59"/>
    <w:rsid w:val="000D2AA1"/>
    <w:rsid w:val="000D2B6D"/>
    <w:rsid w:val="000D2EFC"/>
    <w:rsid w:val="000D31D6"/>
    <w:rsid w:val="000D3309"/>
    <w:rsid w:val="000D3333"/>
    <w:rsid w:val="000D34B2"/>
    <w:rsid w:val="000D375A"/>
    <w:rsid w:val="000D3864"/>
    <w:rsid w:val="000D39DC"/>
    <w:rsid w:val="000D3C44"/>
    <w:rsid w:val="000D3CDC"/>
    <w:rsid w:val="000D40A7"/>
    <w:rsid w:val="000D417E"/>
    <w:rsid w:val="000D41E5"/>
    <w:rsid w:val="000D445D"/>
    <w:rsid w:val="000D4680"/>
    <w:rsid w:val="000D4CC1"/>
    <w:rsid w:val="000D4EF3"/>
    <w:rsid w:val="000D4F12"/>
    <w:rsid w:val="000D4FC1"/>
    <w:rsid w:val="000D52A6"/>
    <w:rsid w:val="000D52EE"/>
    <w:rsid w:val="000D55DA"/>
    <w:rsid w:val="000D5851"/>
    <w:rsid w:val="000D5E3E"/>
    <w:rsid w:val="000D5F9A"/>
    <w:rsid w:val="000D6094"/>
    <w:rsid w:val="000D60C6"/>
    <w:rsid w:val="000D60F3"/>
    <w:rsid w:val="000D6222"/>
    <w:rsid w:val="000D65BF"/>
    <w:rsid w:val="000D69AF"/>
    <w:rsid w:val="000D6BCF"/>
    <w:rsid w:val="000D6C88"/>
    <w:rsid w:val="000D6D23"/>
    <w:rsid w:val="000D6F65"/>
    <w:rsid w:val="000D7171"/>
    <w:rsid w:val="000D749C"/>
    <w:rsid w:val="000D74BC"/>
    <w:rsid w:val="000D74EA"/>
    <w:rsid w:val="000D75ED"/>
    <w:rsid w:val="000D7C21"/>
    <w:rsid w:val="000E0121"/>
    <w:rsid w:val="000E0254"/>
    <w:rsid w:val="000E029B"/>
    <w:rsid w:val="000E03E3"/>
    <w:rsid w:val="000E0A70"/>
    <w:rsid w:val="000E0BC2"/>
    <w:rsid w:val="000E0C30"/>
    <w:rsid w:val="000E0D70"/>
    <w:rsid w:val="000E0DDA"/>
    <w:rsid w:val="000E0E1C"/>
    <w:rsid w:val="000E0F04"/>
    <w:rsid w:val="000E10F6"/>
    <w:rsid w:val="000E11A1"/>
    <w:rsid w:val="000E11A8"/>
    <w:rsid w:val="000E131C"/>
    <w:rsid w:val="000E1393"/>
    <w:rsid w:val="000E1440"/>
    <w:rsid w:val="000E148E"/>
    <w:rsid w:val="000E15D3"/>
    <w:rsid w:val="000E1808"/>
    <w:rsid w:val="000E1A36"/>
    <w:rsid w:val="000E1AAB"/>
    <w:rsid w:val="000E1BA4"/>
    <w:rsid w:val="000E257B"/>
    <w:rsid w:val="000E2952"/>
    <w:rsid w:val="000E2A9C"/>
    <w:rsid w:val="000E2DC6"/>
    <w:rsid w:val="000E3037"/>
    <w:rsid w:val="000E30FB"/>
    <w:rsid w:val="000E31E7"/>
    <w:rsid w:val="000E3683"/>
    <w:rsid w:val="000E374A"/>
    <w:rsid w:val="000E37C2"/>
    <w:rsid w:val="000E3931"/>
    <w:rsid w:val="000E3AED"/>
    <w:rsid w:val="000E3C95"/>
    <w:rsid w:val="000E3E66"/>
    <w:rsid w:val="000E4194"/>
    <w:rsid w:val="000E45A7"/>
    <w:rsid w:val="000E4748"/>
    <w:rsid w:val="000E4829"/>
    <w:rsid w:val="000E4943"/>
    <w:rsid w:val="000E4945"/>
    <w:rsid w:val="000E4C6B"/>
    <w:rsid w:val="000E4CAF"/>
    <w:rsid w:val="000E4D44"/>
    <w:rsid w:val="000E4DD7"/>
    <w:rsid w:val="000E4F7C"/>
    <w:rsid w:val="000E51A6"/>
    <w:rsid w:val="000E526A"/>
    <w:rsid w:val="000E53A1"/>
    <w:rsid w:val="000E5460"/>
    <w:rsid w:val="000E5555"/>
    <w:rsid w:val="000E5704"/>
    <w:rsid w:val="000E570E"/>
    <w:rsid w:val="000E5840"/>
    <w:rsid w:val="000E5897"/>
    <w:rsid w:val="000E5923"/>
    <w:rsid w:val="000E59DB"/>
    <w:rsid w:val="000E5A82"/>
    <w:rsid w:val="000E5C6D"/>
    <w:rsid w:val="000E5DDC"/>
    <w:rsid w:val="000E601F"/>
    <w:rsid w:val="000E6098"/>
    <w:rsid w:val="000E60B6"/>
    <w:rsid w:val="000E6151"/>
    <w:rsid w:val="000E640B"/>
    <w:rsid w:val="000E6673"/>
    <w:rsid w:val="000E66A7"/>
    <w:rsid w:val="000E69A9"/>
    <w:rsid w:val="000E6C5A"/>
    <w:rsid w:val="000E6D08"/>
    <w:rsid w:val="000E6D5B"/>
    <w:rsid w:val="000E6F8C"/>
    <w:rsid w:val="000E7050"/>
    <w:rsid w:val="000E706D"/>
    <w:rsid w:val="000E708C"/>
    <w:rsid w:val="000E70BA"/>
    <w:rsid w:val="000E7218"/>
    <w:rsid w:val="000E728D"/>
    <w:rsid w:val="000E731B"/>
    <w:rsid w:val="000E74F8"/>
    <w:rsid w:val="000E7698"/>
    <w:rsid w:val="000E76D5"/>
    <w:rsid w:val="000E7790"/>
    <w:rsid w:val="000E77B3"/>
    <w:rsid w:val="000E7822"/>
    <w:rsid w:val="000E7A42"/>
    <w:rsid w:val="000E7CD3"/>
    <w:rsid w:val="000E7D21"/>
    <w:rsid w:val="000E7D56"/>
    <w:rsid w:val="000E7FFE"/>
    <w:rsid w:val="000F01AE"/>
    <w:rsid w:val="000F021A"/>
    <w:rsid w:val="000F0291"/>
    <w:rsid w:val="000F0308"/>
    <w:rsid w:val="000F0397"/>
    <w:rsid w:val="000F04AD"/>
    <w:rsid w:val="000F0553"/>
    <w:rsid w:val="000F056E"/>
    <w:rsid w:val="000F0807"/>
    <w:rsid w:val="000F0815"/>
    <w:rsid w:val="000F0A1C"/>
    <w:rsid w:val="000F0AC8"/>
    <w:rsid w:val="000F0F45"/>
    <w:rsid w:val="000F0FE2"/>
    <w:rsid w:val="000F11B7"/>
    <w:rsid w:val="000F14C3"/>
    <w:rsid w:val="000F1569"/>
    <w:rsid w:val="000F15F0"/>
    <w:rsid w:val="000F160F"/>
    <w:rsid w:val="000F178E"/>
    <w:rsid w:val="000F17B8"/>
    <w:rsid w:val="000F190A"/>
    <w:rsid w:val="000F19EF"/>
    <w:rsid w:val="000F1AA3"/>
    <w:rsid w:val="000F1B2C"/>
    <w:rsid w:val="000F1B8A"/>
    <w:rsid w:val="000F1F11"/>
    <w:rsid w:val="000F2058"/>
    <w:rsid w:val="000F21DD"/>
    <w:rsid w:val="000F227B"/>
    <w:rsid w:val="000F258B"/>
    <w:rsid w:val="000F2A07"/>
    <w:rsid w:val="000F2B65"/>
    <w:rsid w:val="000F2C61"/>
    <w:rsid w:val="000F2C69"/>
    <w:rsid w:val="000F2C91"/>
    <w:rsid w:val="000F2DB3"/>
    <w:rsid w:val="000F2DC6"/>
    <w:rsid w:val="000F3105"/>
    <w:rsid w:val="000F31D1"/>
    <w:rsid w:val="000F356B"/>
    <w:rsid w:val="000F36C1"/>
    <w:rsid w:val="000F37CB"/>
    <w:rsid w:val="000F3A33"/>
    <w:rsid w:val="000F3A7D"/>
    <w:rsid w:val="000F3A99"/>
    <w:rsid w:val="000F401D"/>
    <w:rsid w:val="000F43CB"/>
    <w:rsid w:val="000F447B"/>
    <w:rsid w:val="000F45F6"/>
    <w:rsid w:val="000F460D"/>
    <w:rsid w:val="000F469F"/>
    <w:rsid w:val="000F47FE"/>
    <w:rsid w:val="000F4828"/>
    <w:rsid w:val="000F4A4D"/>
    <w:rsid w:val="000F4BD4"/>
    <w:rsid w:val="000F4CC9"/>
    <w:rsid w:val="000F4CE3"/>
    <w:rsid w:val="000F4E2B"/>
    <w:rsid w:val="000F5205"/>
    <w:rsid w:val="000F5267"/>
    <w:rsid w:val="000F5324"/>
    <w:rsid w:val="000F5524"/>
    <w:rsid w:val="000F59F2"/>
    <w:rsid w:val="000F5BDC"/>
    <w:rsid w:val="000F5CC9"/>
    <w:rsid w:val="000F5F21"/>
    <w:rsid w:val="000F6164"/>
    <w:rsid w:val="000F6175"/>
    <w:rsid w:val="000F618A"/>
    <w:rsid w:val="000F626D"/>
    <w:rsid w:val="000F67E7"/>
    <w:rsid w:val="000F6827"/>
    <w:rsid w:val="000F6956"/>
    <w:rsid w:val="000F698C"/>
    <w:rsid w:val="000F6C56"/>
    <w:rsid w:val="000F6D4C"/>
    <w:rsid w:val="000F7323"/>
    <w:rsid w:val="000F7534"/>
    <w:rsid w:val="000F75CC"/>
    <w:rsid w:val="000F7630"/>
    <w:rsid w:val="000F77A0"/>
    <w:rsid w:val="000F787D"/>
    <w:rsid w:val="000F793D"/>
    <w:rsid w:val="000F7A2A"/>
    <w:rsid w:val="000F7B4F"/>
    <w:rsid w:val="000F7BC4"/>
    <w:rsid w:val="000F7C55"/>
    <w:rsid w:val="000F7D5D"/>
    <w:rsid w:val="000F7E47"/>
    <w:rsid w:val="000F7E7D"/>
    <w:rsid w:val="000F7EE5"/>
    <w:rsid w:val="00100061"/>
    <w:rsid w:val="00100356"/>
    <w:rsid w:val="00100452"/>
    <w:rsid w:val="001004D0"/>
    <w:rsid w:val="00100655"/>
    <w:rsid w:val="00100747"/>
    <w:rsid w:val="00100AF4"/>
    <w:rsid w:val="00100F0B"/>
    <w:rsid w:val="00100F68"/>
    <w:rsid w:val="001012AA"/>
    <w:rsid w:val="0010146C"/>
    <w:rsid w:val="001014AD"/>
    <w:rsid w:val="00101552"/>
    <w:rsid w:val="0010167E"/>
    <w:rsid w:val="0010178B"/>
    <w:rsid w:val="001018D6"/>
    <w:rsid w:val="00101CAC"/>
    <w:rsid w:val="00101F79"/>
    <w:rsid w:val="0010206F"/>
    <w:rsid w:val="0010210C"/>
    <w:rsid w:val="001021CB"/>
    <w:rsid w:val="001023DC"/>
    <w:rsid w:val="001024BE"/>
    <w:rsid w:val="001024FB"/>
    <w:rsid w:val="00102741"/>
    <w:rsid w:val="001028F2"/>
    <w:rsid w:val="00102D04"/>
    <w:rsid w:val="00102D4D"/>
    <w:rsid w:val="00102DCC"/>
    <w:rsid w:val="00102E73"/>
    <w:rsid w:val="00103039"/>
    <w:rsid w:val="00103058"/>
    <w:rsid w:val="00103288"/>
    <w:rsid w:val="00103344"/>
    <w:rsid w:val="001033E4"/>
    <w:rsid w:val="00103439"/>
    <w:rsid w:val="0010380B"/>
    <w:rsid w:val="0010388B"/>
    <w:rsid w:val="00103953"/>
    <w:rsid w:val="00103967"/>
    <w:rsid w:val="0010396F"/>
    <w:rsid w:val="00103997"/>
    <w:rsid w:val="001039A8"/>
    <w:rsid w:val="00103A96"/>
    <w:rsid w:val="00103C6F"/>
    <w:rsid w:val="00103C7B"/>
    <w:rsid w:val="00103E2C"/>
    <w:rsid w:val="00103E41"/>
    <w:rsid w:val="00103E96"/>
    <w:rsid w:val="00103EEF"/>
    <w:rsid w:val="00104215"/>
    <w:rsid w:val="0010422F"/>
    <w:rsid w:val="001042C9"/>
    <w:rsid w:val="0010433A"/>
    <w:rsid w:val="0010484B"/>
    <w:rsid w:val="001048C6"/>
    <w:rsid w:val="0010491D"/>
    <w:rsid w:val="00104B14"/>
    <w:rsid w:val="001051FD"/>
    <w:rsid w:val="00105398"/>
    <w:rsid w:val="0010542B"/>
    <w:rsid w:val="001054D8"/>
    <w:rsid w:val="0010571B"/>
    <w:rsid w:val="00105ABF"/>
    <w:rsid w:val="00105B2B"/>
    <w:rsid w:val="00105C19"/>
    <w:rsid w:val="00105D8F"/>
    <w:rsid w:val="00106139"/>
    <w:rsid w:val="001061DA"/>
    <w:rsid w:val="001062E7"/>
    <w:rsid w:val="0010632A"/>
    <w:rsid w:val="0010652E"/>
    <w:rsid w:val="001066D0"/>
    <w:rsid w:val="0010674F"/>
    <w:rsid w:val="001067E0"/>
    <w:rsid w:val="001069E8"/>
    <w:rsid w:val="00106E62"/>
    <w:rsid w:val="00106FC6"/>
    <w:rsid w:val="00107003"/>
    <w:rsid w:val="0010703D"/>
    <w:rsid w:val="00107114"/>
    <w:rsid w:val="00107747"/>
    <w:rsid w:val="001077B1"/>
    <w:rsid w:val="00107817"/>
    <w:rsid w:val="00107963"/>
    <w:rsid w:val="001079CA"/>
    <w:rsid w:val="00107D22"/>
    <w:rsid w:val="00107E53"/>
    <w:rsid w:val="00107E8A"/>
    <w:rsid w:val="00107FD5"/>
    <w:rsid w:val="001101A7"/>
    <w:rsid w:val="00110261"/>
    <w:rsid w:val="0011041D"/>
    <w:rsid w:val="00110490"/>
    <w:rsid w:val="001106CC"/>
    <w:rsid w:val="0011075E"/>
    <w:rsid w:val="00110777"/>
    <w:rsid w:val="00110831"/>
    <w:rsid w:val="00110B35"/>
    <w:rsid w:val="00110BB8"/>
    <w:rsid w:val="00110C7B"/>
    <w:rsid w:val="00110D90"/>
    <w:rsid w:val="00110DE8"/>
    <w:rsid w:val="00110E2D"/>
    <w:rsid w:val="0011108C"/>
    <w:rsid w:val="001110DA"/>
    <w:rsid w:val="00111162"/>
    <w:rsid w:val="0011119D"/>
    <w:rsid w:val="00111323"/>
    <w:rsid w:val="001113BB"/>
    <w:rsid w:val="00111576"/>
    <w:rsid w:val="001116C7"/>
    <w:rsid w:val="001116EA"/>
    <w:rsid w:val="0011181E"/>
    <w:rsid w:val="00111829"/>
    <w:rsid w:val="0011183F"/>
    <w:rsid w:val="00111A57"/>
    <w:rsid w:val="00111BA8"/>
    <w:rsid w:val="00111C3C"/>
    <w:rsid w:val="00111D84"/>
    <w:rsid w:val="0011209B"/>
    <w:rsid w:val="0011231A"/>
    <w:rsid w:val="001123A3"/>
    <w:rsid w:val="001123AC"/>
    <w:rsid w:val="001124A0"/>
    <w:rsid w:val="00112786"/>
    <w:rsid w:val="001127F7"/>
    <w:rsid w:val="0011283E"/>
    <w:rsid w:val="00112ED4"/>
    <w:rsid w:val="00112F3E"/>
    <w:rsid w:val="00112F5E"/>
    <w:rsid w:val="0011314B"/>
    <w:rsid w:val="00113623"/>
    <w:rsid w:val="001138CE"/>
    <w:rsid w:val="00113C5F"/>
    <w:rsid w:val="00113DCB"/>
    <w:rsid w:val="00113F3A"/>
    <w:rsid w:val="0011411C"/>
    <w:rsid w:val="001141B6"/>
    <w:rsid w:val="00114332"/>
    <w:rsid w:val="0011437C"/>
    <w:rsid w:val="001143FF"/>
    <w:rsid w:val="00114872"/>
    <w:rsid w:val="001149DE"/>
    <w:rsid w:val="00114BB3"/>
    <w:rsid w:val="00114C6D"/>
    <w:rsid w:val="00114CB4"/>
    <w:rsid w:val="00114DB1"/>
    <w:rsid w:val="0011511A"/>
    <w:rsid w:val="0011549E"/>
    <w:rsid w:val="001154FF"/>
    <w:rsid w:val="00115653"/>
    <w:rsid w:val="001157A3"/>
    <w:rsid w:val="001157F2"/>
    <w:rsid w:val="00115C5A"/>
    <w:rsid w:val="00115CE5"/>
    <w:rsid w:val="00115DA3"/>
    <w:rsid w:val="00115F32"/>
    <w:rsid w:val="00116038"/>
    <w:rsid w:val="0011618E"/>
    <w:rsid w:val="00116590"/>
    <w:rsid w:val="00116658"/>
    <w:rsid w:val="001166A4"/>
    <w:rsid w:val="001166AC"/>
    <w:rsid w:val="001169AB"/>
    <w:rsid w:val="00116BF2"/>
    <w:rsid w:val="00116C4B"/>
    <w:rsid w:val="00116D6A"/>
    <w:rsid w:val="00116E07"/>
    <w:rsid w:val="00117018"/>
    <w:rsid w:val="00117310"/>
    <w:rsid w:val="00117441"/>
    <w:rsid w:val="00117606"/>
    <w:rsid w:val="00117669"/>
    <w:rsid w:val="00117A44"/>
    <w:rsid w:val="00117B82"/>
    <w:rsid w:val="00117D0D"/>
    <w:rsid w:val="00117F4F"/>
    <w:rsid w:val="0012003F"/>
    <w:rsid w:val="00120122"/>
    <w:rsid w:val="001202E4"/>
    <w:rsid w:val="0012032D"/>
    <w:rsid w:val="001205D8"/>
    <w:rsid w:val="001207D7"/>
    <w:rsid w:val="00120844"/>
    <w:rsid w:val="00120A31"/>
    <w:rsid w:val="00120B18"/>
    <w:rsid w:val="00120B4B"/>
    <w:rsid w:val="00120BBF"/>
    <w:rsid w:val="00120D07"/>
    <w:rsid w:val="00120F43"/>
    <w:rsid w:val="00121102"/>
    <w:rsid w:val="00121160"/>
    <w:rsid w:val="001211BB"/>
    <w:rsid w:val="001211F6"/>
    <w:rsid w:val="00121326"/>
    <w:rsid w:val="0012162C"/>
    <w:rsid w:val="00121AD5"/>
    <w:rsid w:val="00121D4C"/>
    <w:rsid w:val="00121EA9"/>
    <w:rsid w:val="00121F33"/>
    <w:rsid w:val="00121FFF"/>
    <w:rsid w:val="001221D4"/>
    <w:rsid w:val="0012240F"/>
    <w:rsid w:val="0012249A"/>
    <w:rsid w:val="0012255F"/>
    <w:rsid w:val="001228D2"/>
    <w:rsid w:val="00122A94"/>
    <w:rsid w:val="00122DBF"/>
    <w:rsid w:val="00122E7E"/>
    <w:rsid w:val="001231A8"/>
    <w:rsid w:val="0012329C"/>
    <w:rsid w:val="0012329F"/>
    <w:rsid w:val="00123596"/>
    <w:rsid w:val="00123612"/>
    <w:rsid w:val="001236D1"/>
    <w:rsid w:val="00123848"/>
    <w:rsid w:val="00123991"/>
    <w:rsid w:val="00123AF2"/>
    <w:rsid w:val="00123B78"/>
    <w:rsid w:val="00123C59"/>
    <w:rsid w:val="00123D3F"/>
    <w:rsid w:val="00123D50"/>
    <w:rsid w:val="00123E7E"/>
    <w:rsid w:val="00123FDC"/>
    <w:rsid w:val="00124208"/>
    <w:rsid w:val="001243BA"/>
    <w:rsid w:val="00124481"/>
    <w:rsid w:val="00124661"/>
    <w:rsid w:val="001247B6"/>
    <w:rsid w:val="00124923"/>
    <w:rsid w:val="00124F3F"/>
    <w:rsid w:val="00125244"/>
    <w:rsid w:val="00125527"/>
    <w:rsid w:val="001255C0"/>
    <w:rsid w:val="00125600"/>
    <w:rsid w:val="001257DE"/>
    <w:rsid w:val="0012595C"/>
    <w:rsid w:val="00125B07"/>
    <w:rsid w:val="00125B8B"/>
    <w:rsid w:val="00125D8E"/>
    <w:rsid w:val="00125DD5"/>
    <w:rsid w:val="00125E54"/>
    <w:rsid w:val="00125F94"/>
    <w:rsid w:val="00126125"/>
    <w:rsid w:val="00126173"/>
    <w:rsid w:val="00126194"/>
    <w:rsid w:val="001261B3"/>
    <w:rsid w:val="001261FF"/>
    <w:rsid w:val="001263C1"/>
    <w:rsid w:val="00126429"/>
    <w:rsid w:val="001265EB"/>
    <w:rsid w:val="00126628"/>
    <w:rsid w:val="00126804"/>
    <w:rsid w:val="00126A75"/>
    <w:rsid w:val="00126FD7"/>
    <w:rsid w:val="00127329"/>
    <w:rsid w:val="00127530"/>
    <w:rsid w:val="00127917"/>
    <w:rsid w:val="00127C52"/>
    <w:rsid w:val="00127CF6"/>
    <w:rsid w:val="00127E5D"/>
    <w:rsid w:val="00127F8A"/>
    <w:rsid w:val="00127FDC"/>
    <w:rsid w:val="00130077"/>
    <w:rsid w:val="0013025D"/>
    <w:rsid w:val="001302AE"/>
    <w:rsid w:val="001302EB"/>
    <w:rsid w:val="00130310"/>
    <w:rsid w:val="00130450"/>
    <w:rsid w:val="001304EC"/>
    <w:rsid w:val="001305B2"/>
    <w:rsid w:val="001307C4"/>
    <w:rsid w:val="00130816"/>
    <w:rsid w:val="00130900"/>
    <w:rsid w:val="0013092F"/>
    <w:rsid w:val="00130A95"/>
    <w:rsid w:val="00130B59"/>
    <w:rsid w:val="00130BE2"/>
    <w:rsid w:val="00130C67"/>
    <w:rsid w:val="00130D8B"/>
    <w:rsid w:val="00130E1E"/>
    <w:rsid w:val="00130E9B"/>
    <w:rsid w:val="0013117C"/>
    <w:rsid w:val="00131234"/>
    <w:rsid w:val="001312E7"/>
    <w:rsid w:val="00131304"/>
    <w:rsid w:val="001313AE"/>
    <w:rsid w:val="0013173F"/>
    <w:rsid w:val="00131892"/>
    <w:rsid w:val="00131A94"/>
    <w:rsid w:val="00131E6A"/>
    <w:rsid w:val="00131F31"/>
    <w:rsid w:val="00131F73"/>
    <w:rsid w:val="001321FF"/>
    <w:rsid w:val="0013296B"/>
    <w:rsid w:val="00132A4C"/>
    <w:rsid w:val="00132BA6"/>
    <w:rsid w:val="00132C67"/>
    <w:rsid w:val="00132D2F"/>
    <w:rsid w:val="00132D8A"/>
    <w:rsid w:val="0013316A"/>
    <w:rsid w:val="001332FA"/>
    <w:rsid w:val="001334D6"/>
    <w:rsid w:val="00133507"/>
    <w:rsid w:val="0013375F"/>
    <w:rsid w:val="001337CC"/>
    <w:rsid w:val="00133A51"/>
    <w:rsid w:val="00133A5D"/>
    <w:rsid w:val="00133B90"/>
    <w:rsid w:val="00133DE7"/>
    <w:rsid w:val="00134319"/>
    <w:rsid w:val="001344B5"/>
    <w:rsid w:val="0013459E"/>
    <w:rsid w:val="0013468E"/>
    <w:rsid w:val="00134CF6"/>
    <w:rsid w:val="00134D9F"/>
    <w:rsid w:val="00134E7A"/>
    <w:rsid w:val="00135188"/>
    <w:rsid w:val="00135190"/>
    <w:rsid w:val="00135375"/>
    <w:rsid w:val="00135410"/>
    <w:rsid w:val="0013571A"/>
    <w:rsid w:val="0013587E"/>
    <w:rsid w:val="001358EE"/>
    <w:rsid w:val="00135A88"/>
    <w:rsid w:val="0013666E"/>
    <w:rsid w:val="001366DF"/>
    <w:rsid w:val="00136745"/>
    <w:rsid w:val="0013674C"/>
    <w:rsid w:val="00136789"/>
    <w:rsid w:val="001367D0"/>
    <w:rsid w:val="0013682E"/>
    <w:rsid w:val="00136924"/>
    <w:rsid w:val="00136970"/>
    <w:rsid w:val="0013697A"/>
    <w:rsid w:val="00136B10"/>
    <w:rsid w:val="00136BCE"/>
    <w:rsid w:val="00136D1F"/>
    <w:rsid w:val="00136D96"/>
    <w:rsid w:val="00136E30"/>
    <w:rsid w:val="00136E65"/>
    <w:rsid w:val="00136F4A"/>
    <w:rsid w:val="001370E3"/>
    <w:rsid w:val="00137180"/>
    <w:rsid w:val="001371E6"/>
    <w:rsid w:val="0013727F"/>
    <w:rsid w:val="0013744E"/>
    <w:rsid w:val="00137591"/>
    <w:rsid w:val="001375AD"/>
    <w:rsid w:val="001376E1"/>
    <w:rsid w:val="00137A22"/>
    <w:rsid w:val="00137ADE"/>
    <w:rsid w:val="00137D07"/>
    <w:rsid w:val="00140358"/>
    <w:rsid w:val="0014035D"/>
    <w:rsid w:val="001407AA"/>
    <w:rsid w:val="00140824"/>
    <w:rsid w:val="001408D6"/>
    <w:rsid w:val="00140EE4"/>
    <w:rsid w:val="001414E3"/>
    <w:rsid w:val="001417BB"/>
    <w:rsid w:val="001418A6"/>
    <w:rsid w:val="00141939"/>
    <w:rsid w:val="0014195D"/>
    <w:rsid w:val="00141E9E"/>
    <w:rsid w:val="001420D6"/>
    <w:rsid w:val="00142135"/>
    <w:rsid w:val="001422BF"/>
    <w:rsid w:val="00142616"/>
    <w:rsid w:val="0014267C"/>
    <w:rsid w:val="001428AC"/>
    <w:rsid w:val="00142BFD"/>
    <w:rsid w:val="00142D5B"/>
    <w:rsid w:val="00142EB4"/>
    <w:rsid w:val="00142EE9"/>
    <w:rsid w:val="001430FA"/>
    <w:rsid w:val="001433F6"/>
    <w:rsid w:val="0014346E"/>
    <w:rsid w:val="001434AD"/>
    <w:rsid w:val="001434FC"/>
    <w:rsid w:val="00143529"/>
    <w:rsid w:val="00143556"/>
    <w:rsid w:val="00143980"/>
    <w:rsid w:val="00143CFC"/>
    <w:rsid w:val="00143D80"/>
    <w:rsid w:val="00143E14"/>
    <w:rsid w:val="00143E15"/>
    <w:rsid w:val="0014403F"/>
    <w:rsid w:val="00144053"/>
    <w:rsid w:val="00144133"/>
    <w:rsid w:val="001441AE"/>
    <w:rsid w:val="0014435B"/>
    <w:rsid w:val="001444CC"/>
    <w:rsid w:val="0014459E"/>
    <w:rsid w:val="001449AB"/>
    <w:rsid w:val="00144CBB"/>
    <w:rsid w:val="00144DDD"/>
    <w:rsid w:val="00144E2F"/>
    <w:rsid w:val="00144FF9"/>
    <w:rsid w:val="001450F8"/>
    <w:rsid w:val="00145296"/>
    <w:rsid w:val="0014538C"/>
    <w:rsid w:val="001455B5"/>
    <w:rsid w:val="001455C2"/>
    <w:rsid w:val="0014584B"/>
    <w:rsid w:val="00145A22"/>
    <w:rsid w:val="00145A38"/>
    <w:rsid w:val="00145C90"/>
    <w:rsid w:val="00145FF2"/>
    <w:rsid w:val="00145FF9"/>
    <w:rsid w:val="00146133"/>
    <w:rsid w:val="00146343"/>
    <w:rsid w:val="0014638A"/>
    <w:rsid w:val="00146638"/>
    <w:rsid w:val="0014698C"/>
    <w:rsid w:val="00146A09"/>
    <w:rsid w:val="00146B37"/>
    <w:rsid w:val="00146C55"/>
    <w:rsid w:val="00146D90"/>
    <w:rsid w:val="00147036"/>
    <w:rsid w:val="00147065"/>
    <w:rsid w:val="001470A8"/>
    <w:rsid w:val="0014731F"/>
    <w:rsid w:val="001475EE"/>
    <w:rsid w:val="0014765D"/>
    <w:rsid w:val="00147A39"/>
    <w:rsid w:val="00147B83"/>
    <w:rsid w:val="00147F7A"/>
    <w:rsid w:val="001500CD"/>
    <w:rsid w:val="00150150"/>
    <w:rsid w:val="00150348"/>
    <w:rsid w:val="001503ED"/>
    <w:rsid w:val="001509B2"/>
    <w:rsid w:val="00150B00"/>
    <w:rsid w:val="00150DDF"/>
    <w:rsid w:val="00151151"/>
    <w:rsid w:val="0015116C"/>
    <w:rsid w:val="0015131A"/>
    <w:rsid w:val="0015134D"/>
    <w:rsid w:val="001514A4"/>
    <w:rsid w:val="001518CD"/>
    <w:rsid w:val="001519AE"/>
    <w:rsid w:val="00151B7A"/>
    <w:rsid w:val="00151C49"/>
    <w:rsid w:val="00151D27"/>
    <w:rsid w:val="00151FD3"/>
    <w:rsid w:val="0015207E"/>
    <w:rsid w:val="0015219F"/>
    <w:rsid w:val="001523FD"/>
    <w:rsid w:val="001524B9"/>
    <w:rsid w:val="00152536"/>
    <w:rsid w:val="001525F7"/>
    <w:rsid w:val="00152873"/>
    <w:rsid w:val="0015292B"/>
    <w:rsid w:val="00152942"/>
    <w:rsid w:val="00152AA5"/>
    <w:rsid w:val="00152C96"/>
    <w:rsid w:val="00152ED0"/>
    <w:rsid w:val="00152F0D"/>
    <w:rsid w:val="0015301B"/>
    <w:rsid w:val="00153209"/>
    <w:rsid w:val="001532F0"/>
    <w:rsid w:val="0015373C"/>
    <w:rsid w:val="00153ABB"/>
    <w:rsid w:val="00153E9A"/>
    <w:rsid w:val="001545DB"/>
    <w:rsid w:val="001545FF"/>
    <w:rsid w:val="00154610"/>
    <w:rsid w:val="00154757"/>
    <w:rsid w:val="00154A42"/>
    <w:rsid w:val="00154D1E"/>
    <w:rsid w:val="00154DB1"/>
    <w:rsid w:val="00155053"/>
    <w:rsid w:val="00155176"/>
    <w:rsid w:val="0015522F"/>
    <w:rsid w:val="0015535A"/>
    <w:rsid w:val="00155425"/>
    <w:rsid w:val="001555E5"/>
    <w:rsid w:val="0015567F"/>
    <w:rsid w:val="00155904"/>
    <w:rsid w:val="00155D2E"/>
    <w:rsid w:val="00155DBB"/>
    <w:rsid w:val="00155F23"/>
    <w:rsid w:val="00155F5F"/>
    <w:rsid w:val="00155F65"/>
    <w:rsid w:val="00156135"/>
    <w:rsid w:val="001563AF"/>
    <w:rsid w:val="00156462"/>
    <w:rsid w:val="001564B7"/>
    <w:rsid w:val="00156507"/>
    <w:rsid w:val="00156971"/>
    <w:rsid w:val="00156ABD"/>
    <w:rsid w:val="00156AE1"/>
    <w:rsid w:val="00156BBF"/>
    <w:rsid w:val="00156BF1"/>
    <w:rsid w:val="00156F41"/>
    <w:rsid w:val="00157086"/>
    <w:rsid w:val="001570E6"/>
    <w:rsid w:val="0015716D"/>
    <w:rsid w:val="0015745D"/>
    <w:rsid w:val="001574AC"/>
    <w:rsid w:val="00157628"/>
    <w:rsid w:val="00157645"/>
    <w:rsid w:val="00157741"/>
    <w:rsid w:val="00157797"/>
    <w:rsid w:val="0015789E"/>
    <w:rsid w:val="001578A2"/>
    <w:rsid w:val="001578E5"/>
    <w:rsid w:val="00157B52"/>
    <w:rsid w:val="00157B61"/>
    <w:rsid w:val="00157D91"/>
    <w:rsid w:val="00157EC5"/>
    <w:rsid w:val="00157F97"/>
    <w:rsid w:val="0016006C"/>
    <w:rsid w:val="0016018E"/>
    <w:rsid w:val="001606B9"/>
    <w:rsid w:val="0016074D"/>
    <w:rsid w:val="00160A65"/>
    <w:rsid w:val="00160B73"/>
    <w:rsid w:val="00160B98"/>
    <w:rsid w:val="00160DC8"/>
    <w:rsid w:val="00160F16"/>
    <w:rsid w:val="00161020"/>
    <w:rsid w:val="001610A5"/>
    <w:rsid w:val="0016111D"/>
    <w:rsid w:val="00161197"/>
    <w:rsid w:val="00161371"/>
    <w:rsid w:val="00161587"/>
    <w:rsid w:val="001615F8"/>
    <w:rsid w:val="0016168A"/>
    <w:rsid w:val="001619DB"/>
    <w:rsid w:val="00161EB3"/>
    <w:rsid w:val="001623C3"/>
    <w:rsid w:val="00162453"/>
    <w:rsid w:val="001624E2"/>
    <w:rsid w:val="0016271D"/>
    <w:rsid w:val="00162731"/>
    <w:rsid w:val="00162882"/>
    <w:rsid w:val="00162946"/>
    <w:rsid w:val="00162DB9"/>
    <w:rsid w:val="00162EE6"/>
    <w:rsid w:val="00162FE0"/>
    <w:rsid w:val="00163146"/>
    <w:rsid w:val="00163201"/>
    <w:rsid w:val="0016321E"/>
    <w:rsid w:val="001632D2"/>
    <w:rsid w:val="001632D4"/>
    <w:rsid w:val="00163313"/>
    <w:rsid w:val="00163406"/>
    <w:rsid w:val="0016357B"/>
    <w:rsid w:val="001636AB"/>
    <w:rsid w:val="001636F9"/>
    <w:rsid w:val="001637DA"/>
    <w:rsid w:val="00163B9F"/>
    <w:rsid w:val="00163C37"/>
    <w:rsid w:val="00163E3F"/>
    <w:rsid w:val="00164535"/>
    <w:rsid w:val="00164703"/>
    <w:rsid w:val="00164A9D"/>
    <w:rsid w:val="00164AF9"/>
    <w:rsid w:val="00164D61"/>
    <w:rsid w:val="00164D75"/>
    <w:rsid w:val="00164EBE"/>
    <w:rsid w:val="00164F38"/>
    <w:rsid w:val="00164F53"/>
    <w:rsid w:val="0016506B"/>
    <w:rsid w:val="00165330"/>
    <w:rsid w:val="001653A7"/>
    <w:rsid w:val="0016565E"/>
    <w:rsid w:val="00165661"/>
    <w:rsid w:val="0016568B"/>
    <w:rsid w:val="00165930"/>
    <w:rsid w:val="00165A5C"/>
    <w:rsid w:val="00165C22"/>
    <w:rsid w:val="00165C62"/>
    <w:rsid w:val="00165D8E"/>
    <w:rsid w:val="00165E8C"/>
    <w:rsid w:val="00165F5E"/>
    <w:rsid w:val="0016606B"/>
    <w:rsid w:val="0016611B"/>
    <w:rsid w:val="001661DF"/>
    <w:rsid w:val="00166391"/>
    <w:rsid w:val="0016650B"/>
    <w:rsid w:val="00166556"/>
    <w:rsid w:val="001667BA"/>
    <w:rsid w:val="00166A5B"/>
    <w:rsid w:val="00166BCA"/>
    <w:rsid w:val="00166FB4"/>
    <w:rsid w:val="00167369"/>
    <w:rsid w:val="001675B7"/>
    <w:rsid w:val="00167671"/>
    <w:rsid w:val="001677BD"/>
    <w:rsid w:val="00167823"/>
    <w:rsid w:val="001678D5"/>
    <w:rsid w:val="00167CA1"/>
    <w:rsid w:val="00167D0A"/>
    <w:rsid w:val="00167EBA"/>
    <w:rsid w:val="00167EC5"/>
    <w:rsid w:val="00167F93"/>
    <w:rsid w:val="001701FF"/>
    <w:rsid w:val="00170205"/>
    <w:rsid w:val="00170471"/>
    <w:rsid w:val="00170694"/>
    <w:rsid w:val="00170AEF"/>
    <w:rsid w:val="00170C87"/>
    <w:rsid w:val="00170E31"/>
    <w:rsid w:val="001710BF"/>
    <w:rsid w:val="00171111"/>
    <w:rsid w:val="001711F4"/>
    <w:rsid w:val="0017177A"/>
    <w:rsid w:val="00171B4A"/>
    <w:rsid w:val="00171BA5"/>
    <w:rsid w:val="00171BE3"/>
    <w:rsid w:val="00171D32"/>
    <w:rsid w:val="00171E4D"/>
    <w:rsid w:val="0017203A"/>
    <w:rsid w:val="0017224C"/>
    <w:rsid w:val="001723A4"/>
    <w:rsid w:val="0017245A"/>
    <w:rsid w:val="001725C6"/>
    <w:rsid w:val="00172634"/>
    <w:rsid w:val="001726AF"/>
    <w:rsid w:val="0017270B"/>
    <w:rsid w:val="00172929"/>
    <w:rsid w:val="00172DE1"/>
    <w:rsid w:val="00172E2E"/>
    <w:rsid w:val="00173119"/>
    <w:rsid w:val="00173281"/>
    <w:rsid w:val="00173324"/>
    <w:rsid w:val="00173386"/>
    <w:rsid w:val="001733A9"/>
    <w:rsid w:val="00173828"/>
    <w:rsid w:val="0017396D"/>
    <w:rsid w:val="001739BE"/>
    <w:rsid w:val="00173A35"/>
    <w:rsid w:val="00173C11"/>
    <w:rsid w:val="00173CD6"/>
    <w:rsid w:val="00173E7F"/>
    <w:rsid w:val="00173EB0"/>
    <w:rsid w:val="00174051"/>
    <w:rsid w:val="001742D6"/>
    <w:rsid w:val="00174348"/>
    <w:rsid w:val="0017434E"/>
    <w:rsid w:val="001747D8"/>
    <w:rsid w:val="001747DF"/>
    <w:rsid w:val="001748E6"/>
    <w:rsid w:val="001748EB"/>
    <w:rsid w:val="00174A4B"/>
    <w:rsid w:val="00174CB0"/>
    <w:rsid w:val="00174D77"/>
    <w:rsid w:val="00174DBB"/>
    <w:rsid w:val="00174F0B"/>
    <w:rsid w:val="00174FC8"/>
    <w:rsid w:val="001750EE"/>
    <w:rsid w:val="00175183"/>
    <w:rsid w:val="00175379"/>
    <w:rsid w:val="0017539D"/>
    <w:rsid w:val="001754AC"/>
    <w:rsid w:val="0017568F"/>
    <w:rsid w:val="00175BDF"/>
    <w:rsid w:val="00175F3A"/>
    <w:rsid w:val="00176078"/>
    <w:rsid w:val="0017616B"/>
    <w:rsid w:val="0017627D"/>
    <w:rsid w:val="001763E0"/>
    <w:rsid w:val="00176537"/>
    <w:rsid w:val="001765BE"/>
    <w:rsid w:val="0017665A"/>
    <w:rsid w:val="00176683"/>
    <w:rsid w:val="00176BF8"/>
    <w:rsid w:val="00176C02"/>
    <w:rsid w:val="00176C7F"/>
    <w:rsid w:val="00176E0A"/>
    <w:rsid w:val="00176E44"/>
    <w:rsid w:val="00176EB8"/>
    <w:rsid w:val="00176F48"/>
    <w:rsid w:val="00176FAC"/>
    <w:rsid w:val="00177055"/>
    <w:rsid w:val="001776C0"/>
    <w:rsid w:val="0017772D"/>
    <w:rsid w:val="001778CB"/>
    <w:rsid w:val="0017798C"/>
    <w:rsid w:val="00177AA5"/>
    <w:rsid w:val="00177E2E"/>
    <w:rsid w:val="0018016E"/>
    <w:rsid w:val="00180266"/>
    <w:rsid w:val="00180666"/>
    <w:rsid w:val="001806C3"/>
    <w:rsid w:val="001807AC"/>
    <w:rsid w:val="0018098F"/>
    <w:rsid w:val="00180CD2"/>
    <w:rsid w:val="00180D24"/>
    <w:rsid w:val="00180D27"/>
    <w:rsid w:val="00181070"/>
    <w:rsid w:val="001811E4"/>
    <w:rsid w:val="00181229"/>
    <w:rsid w:val="0018133D"/>
    <w:rsid w:val="001813FF"/>
    <w:rsid w:val="00181495"/>
    <w:rsid w:val="001814C7"/>
    <w:rsid w:val="0018154C"/>
    <w:rsid w:val="00181759"/>
    <w:rsid w:val="00181939"/>
    <w:rsid w:val="001819CB"/>
    <w:rsid w:val="00181AC0"/>
    <w:rsid w:val="00181B5B"/>
    <w:rsid w:val="00181CC9"/>
    <w:rsid w:val="00181D25"/>
    <w:rsid w:val="00181E33"/>
    <w:rsid w:val="00181F8C"/>
    <w:rsid w:val="0018231E"/>
    <w:rsid w:val="0018250C"/>
    <w:rsid w:val="00182553"/>
    <w:rsid w:val="00182726"/>
    <w:rsid w:val="00182859"/>
    <w:rsid w:val="00182871"/>
    <w:rsid w:val="001828CC"/>
    <w:rsid w:val="00182976"/>
    <w:rsid w:val="00182996"/>
    <w:rsid w:val="00182B86"/>
    <w:rsid w:val="00182BB8"/>
    <w:rsid w:val="00182BC0"/>
    <w:rsid w:val="00182EEF"/>
    <w:rsid w:val="00183136"/>
    <w:rsid w:val="00183773"/>
    <w:rsid w:val="0018377B"/>
    <w:rsid w:val="001837D3"/>
    <w:rsid w:val="001839E6"/>
    <w:rsid w:val="00183EBB"/>
    <w:rsid w:val="001840CF"/>
    <w:rsid w:val="00184180"/>
    <w:rsid w:val="001842C7"/>
    <w:rsid w:val="00184363"/>
    <w:rsid w:val="00184401"/>
    <w:rsid w:val="00184447"/>
    <w:rsid w:val="0018457F"/>
    <w:rsid w:val="0018476F"/>
    <w:rsid w:val="0018496D"/>
    <w:rsid w:val="00184D28"/>
    <w:rsid w:val="00184E20"/>
    <w:rsid w:val="001851E1"/>
    <w:rsid w:val="001856BB"/>
    <w:rsid w:val="00185963"/>
    <w:rsid w:val="001859FC"/>
    <w:rsid w:val="00185B00"/>
    <w:rsid w:val="00185DC3"/>
    <w:rsid w:val="00185FAC"/>
    <w:rsid w:val="00185FEF"/>
    <w:rsid w:val="0018605C"/>
    <w:rsid w:val="0018607D"/>
    <w:rsid w:val="001860EB"/>
    <w:rsid w:val="001865C6"/>
    <w:rsid w:val="001866D1"/>
    <w:rsid w:val="0018682A"/>
    <w:rsid w:val="0018701C"/>
    <w:rsid w:val="001872A3"/>
    <w:rsid w:val="001873E7"/>
    <w:rsid w:val="001878DB"/>
    <w:rsid w:val="00187AC2"/>
    <w:rsid w:val="00187E04"/>
    <w:rsid w:val="00187EBC"/>
    <w:rsid w:val="00190024"/>
    <w:rsid w:val="0019014B"/>
    <w:rsid w:val="00190186"/>
    <w:rsid w:val="00190280"/>
    <w:rsid w:val="001907CD"/>
    <w:rsid w:val="00190937"/>
    <w:rsid w:val="00190A17"/>
    <w:rsid w:val="00190E1C"/>
    <w:rsid w:val="00190EB3"/>
    <w:rsid w:val="00191211"/>
    <w:rsid w:val="001913C5"/>
    <w:rsid w:val="00191572"/>
    <w:rsid w:val="001915F6"/>
    <w:rsid w:val="00191621"/>
    <w:rsid w:val="0019165A"/>
    <w:rsid w:val="00191874"/>
    <w:rsid w:val="001918F0"/>
    <w:rsid w:val="0019196B"/>
    <w:rsid w:val="00191A1B"/>
    <w:rsid w:val="00191B7F"/>
    <w:rsid w:val="00191CB0"/>
    <w:rsid w:val="00191CFA"/>
    <w:rsid w:val="00192137"/>
    <w:rsid w:val="0019217C"/>
    <w:rsid w:val="00192593"/>
    <w:rsid w:val="00192598"/>
    <w:rsid w:val="001928FE"/>
    <w:rsid w:val="001929C2"/>
    <w:rsid w:val="00192C1A"/>
    <w:rsid w:val="00192DEA"/>
    <w:rsid w:val="00192F14"/>
    <w:rsid w:val="00192FAD"/>
    <w:rsid w:val="00193168"/>
    <w:rsid w:val="001932D9"/>
    <w:rsid w:val="001933D6"/>
    <w:rsid w:val="00193DB5"/>
    <w:rsid w:val="00193E74"/>
    <w:rsid w:val="00193F18"/>
    <w:rsid w:val="001941F1"/>
    <w:rsid w:val="00194252"/>
    <w:rsid w:val="0019428F"/>
    <w:rsid w:val="00194360"/>
    <w:rsid w:val="001944C9"/>
    <w:rsid w:val="0019455C"/>
    <w:rsid w:val="001945E4"/>
    <w:rsid w:val="00194683"/>
    <w:rsid w:val="00194731"/>
    <w:rsid w:val="0019492D"/>
    <w:rsid w:val="00194B96"/>
    <w:rsid w:val="00194C5B"/>
    <w:rsid w:val="00195157"/>
    <w:rsid w:val="001951CC"/>
    <w:rsid w:val="001952B1"/>
    <w:rsid w:val="00195409"/>
    <w:rsid w:val="001954E7"/>
    <w:rsid w:val="0019552A"/>
    <w:rsid w:val="00195828"/>
    <w:rsid w:val="001958FD"/>
    <w:rsid w:val="00195A1C"/>
    <w:rsid w:val="00195A83"/>
    <w:rsid w:val="00195B88"/>
    <w:rsid w:val="00195BF9"/>
    <w:rsid w:val="00196089"/>
    <w:rsid w:val="00196134"/>
    <w:rsid w:val="0019623E"/>
    <w:rsid w:val="0019658A"/>
    <w:rsid w:val="001965AC"/>
    <w:rsid w:val="001967AF"/>
    <w:rsid w:val="00196A0B"/>
    <w:rsid w:val="00196BDF"/>
    <w:rsid w:val="00196C6B"/>
    <w:rsid w:val="00196D20"/>
    <w:rsid w:val="001970E8"/>
    <w:rsid w:val="001971DD"/>
    <w:rsid w:val="0019740A"/>
    <w:rsid w:val="001974E9"/>
    <w:rsid w:val="001974F5"/>
    <w:rsid w:val="00197886"/>
    <w:rsid w:val="00197DF1"/>
    <w:rsid w:val="001A0048"/>
    <w:rsid w:val="001A0153"/>
    <w:rsid w:val="001A01F0"/>
    <w:rsid w:val="001A02EF"/>
    <w:rsid w:val="001A03AF"/>
    <w:rsid w:val="001A03E1"/>
    <w:rsid w:val="001A0449"/>
    <w:rsid w:val="001A05A0"/>
    <w:rsid w:val="001A05C3"/>
    <w:rsid w:val="001A0648"/>
    <w:rsid w:val="001A06A8"/>
    <w:rsid w:val="001A0B8A"/>
    <w:rsid w:val="001A0DC5"/>
    <w:rsid w:val="001A0EDA"/>
    <w:rsid w:val="001A0FAB"/>
    <w:rsid w:val="001A14AA"/>
    <w:rsid w:val="001A157A"/>
    <w:rsid w:val="001A15E3"/>
    <w:rsid w:val="001A1747"/>
    <w:rsid w:val="001A1881"/>
    <w:rsid w:val="001A18E6"/>
    <w:rsid w:val="001A1903"/>
    <w:rsid w:val="001A1C22"/>
    <w:rsid w:val="001A1C8F"/>
    <w:rsid w:val="001A1CDC"/>
    <w:rsid w:val="001A23D9"/>
    <w:rsid w:val="001A23DC"/>
    <w:rsid w:val="001A287F"/>
    <w:rsid w:val="001A29B0"/>
    <w:rsid w:val="001A2AA1"/>
    <w:rsid w:val="001A2D11"/>
    <w:rsid w:val="001A2E11"/>
    <w:rsid w:val="001A343B"/>
    <w:rsid w:val="001A359C"/>
    <w:rsid w:val="001A364B"/>
    <w:rsid w:val="001A369D"/>
    <w:rsid w:val="001A36C3"/>
    <w:rsid w:val="001A3A3A"/>
    <w:rsid w:val="001A3B66"/>
    <w:rsid w:val="001A3B67"/>
    <w:rsid w:val="001A3BB6"/>
    <w:rsid w:val="001A3BE9"/>
    <w:rsid w:val="001A3C26"/>
    <w:rsid w:val="001A433D"/>
    <w:rsid w:val="001A4407"/>
    <w:rsid w:val="001A4498"/>
    <w:rsid w:val="001A44C9"/>
    <w:rsid w:val="001A44E3"/>
    <w:rsid w:val="001A466C"/>
    <w:rsid w:val="001A47E7"/>
    <w:rsid w:val="001A494A"/>
    <w:rsid w:val="001A4952"/>
    <w:rsid w:val="001A4C23"/>
    <w:rsid w:val="001A4EF6"/>
    <w:rsid w:val="001A4FA3"/>
    <w:rsid w:val="001A5112"/>
    <w:rsid w:val="001A5504"/>
    <w:rsid w:val="001A5798"/>
    <w:rsid w:val="001A5A4D"/>
    <w:rsid w:val="001A5B67"/>
    <w:rsid w:val="001A5CA1"/>
    <w:rsid w:val="001A5CB0"/>
    <w:rsid w:val="001A61F3"/>
    <w:rsid w:val="001A6233"/>
    <w:rsid w:val="001A639C"/>
    <w:rsid w:val="001A63A5"/>
    <w:rsid w:val="001A6440"/>
    <w:rsid w:val="001A6BE0"/>
    <w:rsid w:val="001A6C59"/>
    <w:rsid w:val="001A6D2C"/>
    <w:rsid w:val="001A6D97"/>
    <w:rsid w:val="001A6E1D"/>
    <w:rsid w:val="001A70CA"/>
    <w:rsid w:val="001A7165"/>
    <w:rsid w:val="001A71CF"/>
    <w:rsid w:val="001A7325"/>
    <w:rsid w:val="001A7422"/>
    <w:rsid w:val="001A7795"/>
    <w:rsid w:val="001A790C"/>
    <w:rsid w:val="001A79BA"/>
    <w:rsid w:val="001A7A6D"/>
    <w:rsid w:val="001A7B50"/>
    <w:rsid w:val="001A7C58"/>
    <w:rsid w:val="001A7DD9"/>
    <w:rsid w:val="001A7E99"/>
    <w:rsid w:val="001B007F"/>
    <w:rsid w:val="001B00DB"/>
    <w:rsid w:val="001B0179"/>
    <w:rsid w:val="001B01B8"/>
    <w:rsid w:val="001B0282"/>
    <w:rsid w:val="001B02A1"/>
    <w:rsid w:val="001B032B"/>
    <w:rsid w:val="001B0332"/>
    <w:rsid w:val="001B08A5"/>
    <w:rsid w:val="001B0975"/>
    <w:rsid w:val="001B0D35"/>
    <w:rsid w:val="001B0DED"/>
    <w:rsid w:val="001B0EEF"/>
    <w:rsid w:val="001B104C"/>
    <w:rsid w:val="001B110E"/>
    <w:rsid w:val="001B118A"/>
    <w:rsid w:val="001B130C"/>
    <w:rsid w:val="001B1323"/>
    <w:rsid w:val="001B139C"/>
    <w:rsid w:val="001B13E3"/>
    <w:rsid w:val="001B1927"/>
    <w:rsid w:val="001B19FA"/>
    <w:rsid w:val="001B1FF6"/>
    <w:rsid w:val="001B2182"/>
    <w:rsid w:val="001B229F"/>
    <w:rsid w:val="001B24D3"/>
    <w:rsid w:val="001B25A8"/>
    <w:rsid w:val="001B25AF"/>
    <w:rsid w:val="001B2654"/>
    <w:rsid w:val="001B26E2"/>
    <w:rsid w:val="001B27B0"/>
    <w:rsid w:val="001B27EB"/>
    <w:rsid w:val="001B28EA"/>
    <w:rsid w:val="001B29B5"/>
    <w:rsid w:val="001B2C32"/>
    <w:rsid w:val="001B2DFD"/>
    <w:rsid w:val="001B30AD"/>
    <w:rsid w:val="001B3558"/>
    <w:rsid w:val="001B3966"/>
    <w:rsid w:val="001B3B9C"/>
    <w:rsid w:val="001B3BC8"/>
    <w:rsid w:val="001B3CA5"/>
    <w:rsid w:val="001B3CAD"/>
    <w:rsid w:val="001B3E03"/>
    <w:rsid w:val="001B3FA2"/>
    <w:rsid w:val="001B4D6D"/>
    <w:rsid w:val="001B52DE"/>
    <w:rsid w:val="001B5430"/>
    <w:rsid w:val="001B6003"/>
    <w:rsid w:val="001B6100"/>
    <w:rsid w:val="001B6386"/>
    <w:rsid w:val="001B63A9"/>
    <w:rsid w:val="001B63F6"/>
    <w:rsid w:val="001B6481"/>
    <w:rsid w:val="001B692B"/>
    <w:rsid w:val="001B69AB"/>
    <w:rsid w:val="001B6A0A"/>
    <w:rsid w:val="001B6A7D"/>
    <w:rsid w:val="001B6B20"/>
    <w:rsid w:val="001B6B3E"/>
    <w:rsid w:val="001B6C7B"/>
    <w:rsid w:val="001B7047"/>
    <w:rsid w:val="001B743D"/>
    <w:rsid w:val="001B7470"/>
    <w:rsid w:val="001B74A4"/>
    <w:rsid w:val="001B786A"/>
    <w:rsid w:val="001B788D"/>
    <w:rsid w:val="001B79F8"/>
    <w:rsid w:val="001B7AA2"/>
    <w:rsid w:val="001B7B8D"/>
    <w:rsid w:val="001B7CDA"/>
    <w:rsid w:val="001B7DB4"/>
    <w:rsid w:val="001B7ED8"/>
    <w:rsid w:val="001B7FB1"/>
    <w:rsid w:val="001C00EC"/>
    <w:rsid w:val="001C052B"/>
    <w:rsid w:val="001C09A0"/>
    <w:rsid w:val="001C0ABC"/>
    <w:rsid w:val="001C108F"/>
    <w:rsid w:val="001C13EC"/>
    <w:rsid w:val="001C1497"/>
    <w:rsid w:val="001C14F0"/>
    <w:rsid w:val="001C1593"/>
    <w:rsid w:val="001C1751"/>
    <w:rsid w:val="001C17ED"/>
    <w:rsid w:val="001C1973"/>
    <w:rsid w:val="001C1AED"/>
    <w:rsid w:val="001C1D54"/>
    <w:rsid w:val="001C20B6"/>
    <w:rsid w:val="001C2343"/>
    <w:rsid w:val="001C2631"/>
    <w:rsid w:val="001C296E"/>
    <w:rsid w:val="001C2FE8"/>
    <w:rsid w:val="001C3175"/>
    <w:rsid w:val="001C3299"/>
    <w:rsid w:val="001C3436"/>
    <w:rsid w:val="001C34BB"/>
    <w:rsid w:val="001C36B0"/>
    <w:rsid w:val="001C375A"/>
    <w:rsid w:val="001C389D"/>
    <w:rsid w:val="001C3A74"/>
    <w:rsid w:val="001C3A93"/>
    <w:rsid w:val="001C3B94"/>
    <w:rsid w:val="001C3F9B"/>
    <w:rsid w:val="001C40D4"/>
    <w:rsid w:val="001C429A"/>
    <w:rsid w:val="001C43AD"/>
    <w:rsid w:val="001C4663"/>
    <w:rsid w:val="001C47E1"/>
    <w:rsid w:val="001C4A42"/>
    <w:rsid w:val="001C4D59"/>
    <w:rsid w:val="001C50C5"/>
    <w:rsid w:val="001C56EE"/>
    <w:rsid w:val="001C5A05"/>
    <w:rsid w:val="001C5A2F"/>
    <w:rsid w:val="001C5C49"/>
    <w:rsid w:val="001C5C62"/>
    <w:rsid w:val="001C5D3D"/>
    <w:rsid w:val="001C5D90"/>
    <w:rsid w:val="001C6340"/>
    <w:rsid w:val="001C64C2"/>
    <w:rsid w:val="001C65AC"/>
    <w:rsid w:val="001C65B9"/>
    <w:rsid w:val="001C664F"/>
    <w:rsid w:val="001C66AF"/>
    <w:rsid w:val="001C67D5"/>
    <w:rsid w:val="001C6869"/>
    <w:rsid w:val="001C6905"/>
    <w:rsid w:val="001C69FE"/>
    <w:rsid w:val="001C6AED"/>
    <w:rsid w:val="001C6AFD"/>
    <w:rsid w:val="001C7322"/>
    <w:rsid w:val="001C786B"/>
    <w:rsid w:val="001C78CB"/>
    <w:rsid w:val="001C78D6"/>
    <w:rsid w:val="001C7C58"/>
    <w:rsid w:val="001D00D1"/>
    <w:rsid w:val="001D01DA"/>
    <w:rsid w:val="001D053D"/>
    <w:rsid w:val="001D0855"/>
    <w:rsid w:val="001D08BA"/>
    <w:rsid w:val="001D08D5"/>
    <w:rsid w:val="001D09F9"/>
    <w:rsid w:val="001D0AEC"/>
    <w:rsid w:val="001D0B1D"/>
    <w:rsid w:val="001D0BF5"/>
    <w:rsid w:val="001D0F6A"/>
    <w:rsid w:val="001D1117"/>
    <w:rsid w:val="001D129C"/>
    <w:rsid w:val="001D157E"/>
    <w:rsid w:val="001D159E"/>
    <w:rsid w:val="001D1843"/>
    <w:rsid w:val="001D1970"/>
    <w:rsid w:val="001D19F9"/>
    <w:rsid w:val="001D1B06"/>
    <w:rsid w:val="001D1BE0"/>
    <w:rsid w:val="001D1CDE"/>
    <w:rsid w:val="001D1DB6"/>
    <w:rsid w:val="001D2243"/>
    <w:rsid w:val="001D25DD"/>
    <w:rsid w:val="001D25F6"/>
    <w:rsid w:val="001D2794"/>
    <w:rsid w:val="001D27A8"/>
    <w:rsid w:val="001D2A48"/>
    <w:rsid w:val="001D2AE6"/>
    <w:rsid w:val="001D2B38"/>
    <w:rsid w:val="001D2F7F"/>
    <w:rsid w:val="001D2FE3"/>
    <w:rsid w:val="001D3712"/>
    <w:rsid w:val="001D38F3"/>
    <w:rsid w:val="001D3A88"/>
    <w:rsid w:val="001D3AA8"/>
    <w:rsid w:val="001D3BA4"/>
    <w:rsid w:val="001D3C19"/>
    <w:rsid w:val="001D3C9C"/>
    <w:rsid w:val="001D4050"/>
    <w:rsid w:val="001D4140"/>
    <w:rsid w:val="001D45FB"/>
    <w:rsid w:val="001D4667"/>
    <w:rsid w:val="001D474B"/>
    <w:rsid w:val="001D483F"/>
    <w:rsid w:val="001D4991"/>
    <w:rsid w:val="001D4A2C"/>
    <w:rsid w:val="001D4A6D"/>
    <w:rsid w:val="001D4D32"/>
    <w:rsid w:val="001D4ED6"/>
    <w:rsid w:val="001D4F0C"/>
    <w:rsid w:val="001D4FAC"/>
    <w:rsid w:val="001D506F"/>
    <w:rsid w:val="001D535A"/>
    <w:rsid w:val="001D5608"/>
    <w:rsid w:val="001D5633"/>
    <w:rsid w:val="001D56B5"/>
    <w:rsid w:val="001D5F2D"/>
    <w:rsid w:val="001D63E5"/>
    <w:rsid w:val="001D659D"/>
    <w:rsid w:val="001D65E0"/>
    <w:rsid w:val="001D6641"/>
    <w:rsid w:val="001D6659"/>
    <w:rsid w:val="001D677B"/>
    <w:rsid w:val="001D6823"/>
    <w:rsid w:val="001D684E"/>
    <w:rsid w:val="001D692A"/>
    <w:rsid w:val="001D6E5B"/>
    <w:rsid w:val="001D6E9A"/>
    <w:rsid w:val="001D6ECB"/>
    <w:rsid w:val="001D700D"/>
    <w:rsid w:val="001D72E6"/>
    <w:rsid w:val="001D73E6"/>
    <w:rsid w:val="001D7569"/>
    <w:rsid w:val="001D78ED"/>
    <w:rsid w:val="001D7EE4"/>
    <w:rsid w:val="001D7EE6"/>
    <w:rsid w:val="001D7F99"/>
    <w:rsid w:val="001E03FA"/>
    <w:rsid w:val="001E0419"/>
    <w:rsid w:val="001E0442"/>
    <w:rsid w:val="001E0650"/>
    <w:rsid w:val="001E079B"/>
    <w:rsid w:val="001E07D8"/>
    <w:rsid w:val="001E0AB7"/>
    <w:rsid w:val="001E0C8A"/>
    <w:rsid w:val="001E10A3"/>
    <w:rsid w:val="001E1104"/>
    <w:rsid w:val="001E111F"/>
    <w:rsid w:val="001E116A"/>
    <w:rsid w:val="001E12C4"/>
    <w:rsid w:val="001E12E9"/>
    <w:rsid w:val="001E130D"/>
    <w:rsid w:val="001E134E"/>
    <w:rsid w:val="001E147C"/>
    <w:rsid w:val="001E18F1"/>
    <w:rsid w:val="001E1A1D"/>
    <w:rsid w:val="001E1AF6"/>
    <w:rsid w:val="001E1D00"/>
    <w:rsid w:val="001E1DC8"/>
    <w:rsid w:val="001E226D"/>
    <w:rsid w:val="001E2283"/>
    <w:rsid w:val="001E22E9"/>
    <w:rsid w:val="001E2363"/>
    <w:rsid w:val="001E247F"/>
    <w:rsid w:val="001E24BC"/>
    <w:rsid w:val="001E2668"/>
    <w:rsid w:val="001E28D5"/>
    <w:rsid w:val="001E2911"/>
    <w:rsid w:val="001E2A1D"/>
    <w:rsid w:val="001E2D53"/>
    <w:rsid w:val="001E2DB2"/>
    <w:rsid w:val="001E30FD"/>
    <w:rsid w:val="001E31D5"/>
    <w:rsid w:val="001E3215"/>
    <w:rsid w:val="001E3271"/>
    <w:rsid w:val="001E34F7"/>
    <w:rsid w:val="001E36B6"/>
    <w:rsid w:val="001E3822"/>
    <w:rsid w:val="001E3A5A"/>
    <w:rsid w:val="001E3A8F"/>
    <w:rsid w:val="001E3B3D"/>
    <w:rsid w:val="001E3D10"/>
    <w:rsid w:val="001E3D27"/>
    <w:rsid w:val="001E3D4E"/>
    <w:rsid w:val="001E43DF"/>
    <w:rsid w:val="001E442C"/>
    <w:rsid w:val="001E44CF"/>
    <w:rsid w:val="001E44DF"/>
    <w:rsid w:val="001E4C20"/>
    <w:rsid w:val="001E4D6F"/>
    <w:rsid w:val="001E4DD6"/>
    <w:rsid w:val="001E4DE5"/>
    <w:rsid w:val="001E4E1F"/>
    <w:rsid w:val="001E4FB0"/>
    <w:rsid w:val="001E5011"/>
    <w:rsid w:val="001E5068"/>
    <w:rsid w:val="001E5102"/>
    <w:rsid w:val="001E5251"/>
    <w:rsid w:val="001E5562"/>
    <w:rsid w:val="001E56FB"/>
    <w:rsid w:val="001E5850"/>
    <w:rsid w:val="001E591B"/>
    <w:rsid w:val="001E5937"/>
    <w:rsid w:val="001E59F4"/>
    <w:rsid w:val="001E5AA5"/>
    <w:rsid w:val="001E5D42"/>
    <w:rsid w:val="001E5F8E"/>
    <w:rsid w:val="001E60D4"/>
    <w:rsid w:val="001E61DC"/>
    <w:rsid w:val="001E6379"/>
    <w:rsid w:val="001E63CE"/>
    <w:rsid w:val="001E688B"/>
    <w:rsid w:val="001E695C"/>
    <w:rsid w:val="001E6A58"/>
    <w:rsid w:val="001E6C00"/>
    <w:rsid w:val="001E6D73"/>
    <w:rsid w:val="001E6DDD"/>
    <w:rsid w:val="001E6E68"/>
    <w:rsid w:val="001E6EC0"/>
    <w:rsid w:val="001E6F59"/>
    <w:rsid w:val="001E7180"/>
    <w:rsid w:val="001E7973"/>
    <w:rsid w:val="001E7AA2"/>
    <w:rsid w:val="001E7B24"/>
    <w:rsid w:val="001E7B37"/>
    <w:rsid w:val="001E7B4B"/>
    <w:rsid w:val="001E7D9B"/>
    <w:rsid w:val="001E7E3A"/>
    <w:rsid w:val="001E7E8D"/>
    <w:rsid w:val="001E7EF2"/>
    <w:rsid w:val="001F02D2"/>
    <w:rsid w:val="001F0358"/>
    <w:rsid w:val="001F0D44"/>
    <w:rsid w:val="001F0D58"/>
    <w:rsid w:val="001F1153"/>
    <w:rsid w:val="001F1201"/>
    <w:rsid w:val="001F161C"/>
    <w:rsid w:val="001F16FA"/>
    <w:rsid w:val="001F174E"/>
    <w:rsid w:val="001F1925"/>
    <w:rsid w:val="001F1A1F"/>
    <w:rsid w:val="001F1AA3"/>
    <w:rsid w:val="001F1AEB"/>
    <w:rsid w:val="001F1CF3"/>
    <w:rsid w:val="001F1D97"/>
    <w:rsid w:val="001F2040"/>
    <w:rsid w:val="001F21C0"/>
    <w:rsid w:val="001F2256"/>
    <w:rsid w:val="001F233D"/>
    <w:rsid w:val="001F2412"/>
    <w:rsid w:val="001F24F1"/>
    <w:rsid w:val="001F2515"/>
    <w:rsid w:val="001F25A3"/>
    <w:rsid w:val="001F25EE"/>
    <w:rsid w:val="001F2644"/>
    <w:rsid w:val="001F27F7"/>
    <w:rsid w:val="001F297A"/>
    <w:rsid w:val="001F2A6C"/>
    <w:rsid w:val="001F2DEE"/>
    <w:rsid w:val="001F2F3B"/>
    <w:rsid w:val="001F2FA4"/>
    <w:rsid w:val="001F3182"/>
    <w:rsid w:val="001F35B7"/>
    <w:rsid w:val="001F35C5"/>
    <w:rsid w:val="001F386C"/>
    <w:rsid w:val="001F3982"/>
    <w:rsid w:val="001F3BE5"/>
    <w:rsid w:val="001F3CE9"/>
    <w:rsid w:val="001F3F18"/>
    <w:rsid w:val="001F4071"/>
    <w:rsid w:val="001F40CF"/>
    <w:rsid w:val="001F428B"/>
    <w:rsid w:val="001F43CD"/>
    <w:rsid w:val="001F44F3"/>
    <w:rsid w:val="001F45AD"/>
    <w:rsid w:val="001F472C"/>
    <w:rsid w:val="001F48E9"/>
    <w:rsid w:val="001F4A9D"/>
    <w:rsid w:val="001F4B26"/>
    <w:rsid w:val="001F4DC5"/>
    <w:rsid w:val="001F544E"/>
    <w:rsid w:val="001F5595"/>
    <w:rsid w:val="001F57C7"/>
    <w:rsid w:val="001F5894"/>
    <w:rsid w:val="001F5C4E"/>
    <w:rsid w:val="001F6040"/>
    <w:rsid w:val="001F6053"/>
    <w:rsid w:val="001F644A"/>
    <w:rsid w:val="001F644E"/>
    <w:rsid w:val="001F64AC"/>
    <w:rsid w:val="001F66BD"/>
    <w:rsid w:val="001F6924"/>
    <w:rsid w:val="001F69C7"/>
    <w:rsid w:val="001F6DD2"/>
    <w:rsid w:val="001F6FBE"/>
    <w:rsid w:val="001F7383"/>
    <w:rsid w:val="001F757F"/>
    <w:rsid w:val="001F7669"/>
    <w:rsid w:val="001F785A"/>
    <w:rsid w:val="001F7990"/>
    <w:rsid w:val="001F7A32"/>
    <w:rsid w:val="001F7BBB"/>
    <w:rsid w:val="001F7FD9"/>
    <w:rsid w:val="002000A2"/>
    <w:rsid w:val="002000DE"/>
    <w:rsid w:val="0020039A"/>
    <w:rsid w:val="00200613"/>
    <w:rsid w:val="0020062C"/>
    <w:rsid w:val="0020066E"/>
    <w:rsid w:val="002006EB"/>
    <w:rsid w:val="0020079C"/>
    <w:rsid w:val="0020093F"/>
    <w:rsid w:val="00200AC9"/>
    <w:rsid w:val="00200C2D"/>
    <w:rsid w:val="00201225"/>
    <w:rsid w:val="0020130B"/>
    <w:rsid w:val="002013BF"/>
    <w:rsid w:val="00201812"/>
    <w:rsid w:val="0020189A"/>
    <w:rsid w:val="00201B18"/>
    <w:rsid w:val="00201C67"/>
    <w:rsid w:val="00201DC6"/>
    <w:rsid w:val="00201F0C"/>
    <w:rsid w:val="00202034"/>
    <w:rsid w:val="00202310"/>
    <w:rsid w:val="002023D6"/>
    <w:rsid w:val="002024D7"/>
    <w:rsid w:val="002025AC"/>
    <w:rsid w:val="00202634"/>
    <w:rsid w:val="002026FB"/>
    <w:rsid w:val="00202790"/>
    <w:rsid w:val="002027B5"/>
    <w:rsid w:val="00202ADF"/>
    <w:rsid w:val="00202EDC"/>
    <w:rsid w:val="00203010"/>
    <w:rsid w:val="0020308A"/>
    <w:rsid w:val="00203159"/>
    <w:rsid w:val="00203196"/>
    <w:rsid w:val="0020330F"/>
    <w:rsid w:val="002033FE"/>
    <w:rsid w:val="00203682"/>
    <w:rsid w:val="0020377C"/>
    <w:rsid w:val="0020389A"/>
    <w:rsid w:val="0020395E"/>
    <w:rsid w:val="00203B4B"/>
    <w:rsid w:val="00203DD9"/>
    <w:rsid w:val="00203E9C"/>
    <w:rsid w:val="00203EFF"/>
    <w:rsid w:val="00203F9D"/>
    <w:rsid w:val="00204338"/>
    <w:rsid w:val="00204353"/>
    <w:rsid w:val="002043D5"/>
    <w:rsid w:val="0020474A"/>
    <w:rsid w:val="00204853"/>
    <w:rsid w:val="00204919"/>
    <w:rsid w:val="0020498A"/>
    <w:rsid w:val="00204AFD"/>
    <w:rsid w:val="00204B81"/>
    <w:rsid w:val="00204BA0"/>
    <w:rsid w:val="00204DB9"/>
    <w:rsid w:val="002050DC"/>
    <w:rsid w:val="0020514C"/>
    <w:rsid w:val="0020521E"/>
    <w:rsid w:val="002052FE"/>
    <w:rsid w:val="0020536D"/>
    <w:rsid w:val="00205494"/>
    <w:rsid w:val="002056AA"/>
    <w:rsid w:val="002056C6"/>
    <w:rsid w:val="0020587B"/>
    <w:rsid w:val="002058F7"/>
    <w:rsid w:val="0020599D"/>
    <w:rsid w:val="00205B48"/>
    <w:rsid w:val="00205F2C"/>
    <w:rsid w:val="00205F54"/>
    <w:rsid w:val="00206443"/>
    <w:rsid w:val="002068C9"/>
    <w:rsid w:val="002068E6"/>
    <w:rsid w:val="00206916"/>
    <w:rsid w:val="002069CA"/>
    <w:rsid w:val="002069E9"/>
    <w:rsid w:val="00206A2A"/>
    <w:rsid w:val="00206D71"/>
    <w:rsid w:val="00206F27"/>
    <w:rsid w:val="00206FDD"/>
    <w:rsid w:val="0020702E"/>
    <w:rsid w:val="00207177"/>
    <w:rsid w:val="002071CB"/>
    <w:rsid w:val="0020770C"/>
    <w:rsid w:val="00207729"/>
    <w:rsid w:val="0020786F"/>
    <w:rsid w:val="00207A5E"/>
    <w:rsid w:val="00210095"/>
    <w:rsid w:val="0021016A"/>
    <w:rsid w:val="002103CA"/>
    <w:rsid w:val="002103DD"/>
    <w:rsid w:val="00210432"/>
    <w:rsid w:val="002104CA"/>
    <w:rsid w:val="002105A5"/>
    <w:rsid w:val="00210752"/>
    <w:rsid w:val="002108D8"/>
    <w:rsid w:val="00210D68"/>
    <w:rsid w:val="00210E07"/>
    <w:rsid w:val="0021147B"/>
    <w:rsid w:val="002115F2"/>
    <w:rsid w:val="00211616"/>
    <w:rsid w:val="00211A72"/>
    <w:rsid w:val="00211B32"/>
    <w:rsid w:val="00212475"/>
    <w:rsid w:val="00212547"/>
    <w:rsid w:val="0021268E"/>
    <w:rsid w:val="0021275A"/>
    <w:rsid w:val="00212A52"/>
    <w:rsid w:val="00212DF8"/>
    <w:rsid w:val="00213043"/>
    <w:rsid w:val="00213127"/>
    <w:rsid w:val="002131B0"/>
    <w:rsid w:val="002131BB"/>
    <w:rsid w:val="002131BE"/>
    <w:rsid w:val="0021321D"/>
    <w:rsid w:val="002134E8"/>
    <w:rsid w:val="002135BE"/>
    <w:rsid w:val="002135DB"/>
    <w:rsid w:val="002136F0"/>
    <w:rsid w:val="002139C0"/>
    <w:rsid w:val="00213D48"/>
    <w:rsid w:val="00213E8A"/>
    <w:rsid w:val="00214182"/>
    <w:rsid w:val="00214310"/>
    <w:rsid w:val="002145CF"/>
    <w:rsid w:val="002145D6"/>
    <w:rsid w:val="002146CF"/>
    <w:rsid w:val="00214B1E"/>
    <w:rsid w:val="00214DA4"/>
    <w:rsid w:val="00214DAE"/>
    <w:rsid w:val="002150C2"/>
    <w:rsid w:val="002155A8"/>
    <w:rsid w:val="00215600"/>
    <w:rsid w:val="00215674"/>
    <w:rsid w:val="00215680"/>
    <w:rsid w:val="00215A97"/>
    <w:rsid w:val="00215AF6"/>
    <w:rsid w:val="00215CAB"/>
    <w:rsid w:val="00215D12"/>
    <w:rsid w:val="00215EB1"/>
    <w:rsid w:val="00216177"/>
    <w:rsid w:val="0021645F"/>
    <w:rsid w:val="00216586"/>
    <w:rsid w:val="0021675B"/>
    <w:rsid w:val="00216965"/>
    <w:rsid w:val="00216A27"/>
    <w:rsid w:val="0021704F"/>
    <w:rsid w:val="00217304"/>
    <w:rsid w:val="002175CD"/>
    <w:rsid w:val="002175D2"/>
    <w:rsid w:val="0021762C"/>
    <w:rsid w:val="0021763D"/>
    <w:rsid w:val="002176CD"/>
    <w:rsid w:val="0021789C"/>
    <w:rsid w:val="002178C0"/>
    <w:rsid w:val="00217AE8"/>
    <w:rsid w:val="00217F1C"/>
    <w:rsid w:val="00217FEA"/>
    <w:rsid w:val="002200CC"/>
    <w:rsid w:val="002201A2"/>
    <w:rsid w:val="00220244"/>
    <w:rsid w:val="0022086F"/>
    <w:rsid w:val="00220895"/>
    <w:rsid w:val="0022092A"/>
    <w:rsid w:val="002209D3"/>
    <w:rsid w:val="002209DF"/>
    <w:rsid w:val="00220F4B"/>
    <w:rsid w:val="002214A0"/>
    <w:rsid w:val="002215DD"/>
    <w:rsid w:val="00221860"/>
    <w:rsid w:val="00221894"/>
    <w:rsid w:val="00221CD3"/>
    <w:rsid w:val="00221DD9"/>
    <w:rsid w:val="00221F04"/>
    <w:rsid w:val="00221F94"/>
    <w:rsid w:val="00222060"/>
    <w:rsid w:val="00222141"/>
    <w:rsid w:val="002224C4"/>
    <w:rsid w:val="002227CC"/>
    <w:rsid w:val="00222801"/>
    <w:rsid w:val="0022284A"/>
    <w:rsid w:val="0022289A"/>
    <w:rsid w:val="002228CA"/>
    <w:rsid w:val="00222B41"/>
    <w:rsid w:val="00222E53"/>
    <w:rsid w:val="0022301A"/>
    <w:rsid w:val="00223208"/>
    <w:rsid w:val="002237F0"/>
    <w:rsid w:val="00223946"/>
    <w:rsid w:val="00223B6B"/>
    <w:rsid w:val="00223BBC"/>
    <w:rsid w:val="00223D08"/>
    <w:rsid w:val="00223E37"/>
    <w:rsid w:val="00223EDC"/>
    <w:rsid w:val="00223FE0"/>
    <w:rsid w:val="002241A6"/>
    <w:rsid w:val="00224319"/>
    <w:rsid w:val="00224516"/>
    <w:rsid w:val="00224877"/>
    <w:rsid w:val="00224953"/>
    <w:rsid w:val="00224E14"/>
    <w:rsid w:val="00225129"/>
    <w:rsid w:val="0022539E"/>
    <w:rsid w:val="002253AE"/>
    <w:rsid w:val="0022551A"/>
    <w:rsid w:val="0022566A"/>
    <w:rsid w:val="002256BA"/>
    <w:rsid w:val="00225767"/>
    <w:rsid w:val="002258FE"/>
    <w:rsid w:val="0022598F"/>
    <w:rsid w:val="00225B03"/>
    <w:rsid w:val="00225EBF"/>
    <w:rsid w:val="0022629A"/>
    <w:rsid w:val="002264A8"/>
    <w:rsid w:val="0022660E"/>
    <w:rsid w:val="00226631"/>
    <w:rsid w:val="002266C6"/>
    <w:rsid w:val="0022670D"/>
    <w:rsid w:val="002268B5"/>
    <w:rsid w:val="00226912"/>
    <w:rsid w:val="00226A61"/>
    <w:rsid w:val="00226C9A"/>
    <w:rsid w:val="00226E7C"/>
    <w:rsid w:val="00227025"/>
    <w:rsid w:val="00227338"/>
    <w:rsid w:val="00227349"/>
    <w:rsid w:val="00227437"/>
    <w:rsid w:val="0022745B"/>
    <w:rsid w:val="00227760"/>
    <w:rsid w:val="00227889"/>
    <w:rsid w:val="00227940"/>
    <w:rsid w:val="002279D1"/>
    <w:rsid w:val="00227AA6"/>
    <w:rsid w:val="00227AF4"/>
    <w:rsid w:val="00227CDB"/>
    <w:rsid w:val="00227D63"/>
    <w:rsid w:val="00227E41"/>
    <w:rsid w:val="00227EB7"/>
    <w:rsid w:val="00227F09"/>
    <w:rsid w:val="002301ED"/>
    <w:rsid w:val="00230379"/>
    <w:rsid w:val="002303CE"/>
    <w:rsid w:val="00230599"/>
    <w:rsid w:val="00230779"/>
    <w:rsid w:val="00230867"/>
    <w:rsid w:val="00230A24"/>
    <w:rsid w:val="00230AB7"/>
    <w:rsid w:val="00230EF2"/>
    <w:rsid w:val="00230F8E"/>
    <w:rsid w:val="00231189"/>
    <w:rsid w:val="00231220"/>
    <w:rsid w:val="00231291"/>
    <w:rsid w:val="00231481"/>
    <w:rsid w:val="00231564"/>
    <w:rsid w:val="002315F0"/>
    <w:rsid w:val="00231640"/>
    <w:rsid w:val="00231704"/>
    <w:rsid w:val="0023197F"/>
    <w:rsid w:val="00231A22"/>
    <w:rsid w:val="00231A45"/>
    <w:rsid w:val="00231BB1"/>
    <w:rsid w:val="00231BB6"/>
    <w:rsid w:val="00231D42"/>
    <w:rsid w:val="0023230F"/>
    <w:rsid w:val="0023265E"/>
    <w:rsid w:val="0023285D"/>
    <w:rsid w:val="002328F0"/>
    <w:rsid w:val="002329C0"/>
    <w:rsid w:val="00232B1A"/>
    <w:rsid w:val="00232B59"/>
    <w:rsid w:val="00232C3F"/>
    <w:rsid w:val="00232EB8"/>
    <w:rsid w:val="00232FAB"/>
    <w:rsid w:val="00233064"/>
    <w:rsid w:val="00233221"/>
    <w:rsid w:val="002335E6"/>
    <w:rsid w:val="00233703"/>
    <w:rsid w:val="00233A05"/>
    <w:rsid w:val="00233BC5"/>
    <w:rsid w:val="00233DAA"/>
    <w:rsid w:val="00233F05"/>
    <w:rsid w:val="0023428A"/>
    <w:rsid w:val="00234A9F"/>
    <w:rsid w:val="00234AE4"/>
    <w:rsid w:val="00234BAE"/>
    <w:rsid w:val="00234E86"/>
    <w:rsid w:val="00234F2D"/>
    <w:rsid w:val="002350CF"/>
    <w:rsid w:val="00235250"/>
    <w:rsid w:val="00235354"/>
    <w:rsid w:val="002355B1"/>
    <w:rsid w:val="00235639"/>
    <w:rsid w:val="0023567D"/>
    <w:rsid w:val="00235790"/>
    <w:rsid w:val="00235860"/>
    <w:rsid w:val="00235894"/>
    <w:rsid w:val="002358C2"/>
    <w:rsid w:val="00235919"/>
    <w:rsid w:val="00235A4D"/>
    <w:rsid w:val="00235B50"/>
    <w:rsid w:val="00235BA3"/>
    <w:rsid w:val="00235C11"/>
    <w:rsid w:val="00235CAC"/>
    <w:rsid w:val="00235ED8"/>
    <w:rsid w:val="00235EDD"/>
    <w:rsid w:val="0023661B"/>
    <w:rsid w:val="00236657"/>
    <w:rsid w:val="002368D5"/>
    <w:rsid w:val="00236922"/>
    <w:rsid w:val="00236AAB"/>
    <w:rsid w:val="00236BC1"/>
    <w:rsid w:val="00236CC3"/>
    <w:rsid w:val="00236D7E"/>
    <w:rsid w:val="00236E7F"/>
    <w:rsid w:val="002370C8"/>
    <w:rsid w:val="00237276"/>
    <w:rsid w:val="00237298"/>
    <w:rsid w:val="002373DF"/>
    <w:rsid w:val="00237521"/>
    <w:rsid w:val="00237B9E"/>
    <w:rsid w:val="00237DD3"/>
    <w:rsid w:val="00237F43"/>
    <w:rsid w:val="00240039"/>
    <w:rsid w:val="0024010A"/>
    <w:rsid w:val="0024016D"/>
    <w:rsid w:val="0024035B"/>
    <w:rsid w:val="002403A9"/>
    <w:rsid w:val="00240469"/>
    <w:rsid w:val="0024051A"/>
    <w:rsid w:val="002406FF"/>
    <w:rsid w:val="00240BB0"/>
    <w:rsid w:val="00240C2B"/>
    <w:rsid w:val="00240C93"/>
    <w:rsid w:val="00240D3C"/>
    <w:rsid w:val="00240FD0"/>
    <w:rsid w:val="0024110F"/>
    <w:rsid w:val="00241294"/>
    <w:rsid w:val="0024130F"/>
    <w:rsid w:val="00241415"/>
    <w:rsid w:val="0024147B"/>
    <w:rsid w:val="00241907"/>
    <w:rsid w:val="00241BE3"/>
    <w:rsid w:val="00241E54"/>
    <w:rsid w:val="00241E84"/>
    <w:rsid w:val="00241F08"/>
    <w:rsid w:val="00242033"/>
    <w:rsid w:val="00242214"/>
    <w:rsid w:val="00242352"/>
    <w:rsid w:val="002424AB"/>
    <w:rsid w:val="0024276E"/>
    <w:rsid w:val="00242871"/>
    <w:rsid w:val="00242879"/>
    <w:rsid w:val="0024289D"/>
    <w:rsid w:val="00242A74"/>
    <w:rsid w:val="00242CB7"/>
    <w:rsid w:val="00243154"/>
    <w:rsid w:val="002431EE"/>
    <w:rsid w:val="00243595"/>
    <w:rsid w:val="0024372A"/>
    <w:rsid w:val="0024384E"/>
    <w:rsid w:val="00243C52"/>
    <w:rsid w:val="00243D0C"/>
    <w:rsid w:val="00244080"/>
    <w:rsid w:val="002440B2"/>
    <w:rsid w:val="00244100"/>
    <w:rsid w:val="00244259"/>
    <w:rsid w:val="002442B2"/>
    <w:rsid w:val="0024473B"/>
    <w:rsid w:val="00244856"/>
    <w:rsid w:val="00244B9C"/>
    <w:rsid w:val="00244C96"/>
    <w:rsid w:val="00244D39"/>
    <w:rsid w:val="00244D62"/>
    <w:rsid w:val="00244F01"/>
    <w:rsid w:val="002451B2"/>
    <w:rsid w:val="002451FA"/>
    <w:rsid w:val="00245268"/>
    <w:rsid w:val="00245299"/>
    <w:rsid w:val="00245529"/>
    <w:rsid w:val="002458F5"/>
    <w:rsid w:val="00245B59"/>
    <w:rsid w:val="00245B68"/>
    <w:rsid w:val="00245CD3"/>
    <w:rsid w:val="00245E14"/>
    <w:rsid w:val="00245EB2"/>
    <w:rsid w:val="00245F19"/>
    <w:rsid w:val="00246015"/>
    <w:rsid w:val="0024623A"/>
    <w:rsid w:val="002466E5"/>
    <w:rsid w:val="00246751"/>
    <w:rsid w:val="0024678A"/>
    <w:rsid w:val="002467EC"/>
    <w:rsid w:val="002468F4"/>
    <w:rsid w:val="00246F54"/>
    <w:rsid w:val="00246F9A"/>
    <w:rsid w:val="00246FCB"/>
    <w:rsid w:val="00247354"/>
    <w:rsid w:val="0024766C"/>
    <w:rsid w:val="002477AE"/>
    <w:rsid w:val="002479B3"/>
    <w:rsid w:val="00247BC2"/>
    <w:rsid w:val="00247BEE"/>
    <w:rsid w:val="00247C3B"/>
    <w:rsid w:val="00247E93"/>
    <w:rsid w:val="00247F94"/>
    <w:rsid w:val="002500B5"/>
    <w:rsid w:val="002500EC"/>
    <w:rsid w:val="00250AAA"/>
    <w:rsid w:val="00250CEB"/>
    <w:rsid w:val="00250CFA"/>
    <w:rsid w:val="00250EC6"/>
    <w:rsid w:val="00251020"/>
    <w:rsid w:val="002510DB"/>
    <w:rsid w:val="002511DE"/>
    <w:rsid w:val="0025136D"/>
    <w:rsid w:val="00251425"/>
    <w:rsid w:val="00251427"/>
    <w:rsid w:val="0025147B"/>
    <w:rsid w:val="00251560"/>
    <w:rsid w:val="002515DC"/>
    <w:rsid w:val="00251670"/>
    <w:rsid w:val="0025167D"/>
    <w:rsid w:val="002516AB"/>
    <w:rsid w:val="00251848"/>
    <w:rsid w:val="002518B5"/>
    <w:rsid w:val="002518D1"/>
    <w:rsid w:val="002518FC"/>
    <w:rsid w:val="00251C07"/>
    <w:rsid w:val="00251D78"/>
    <w:rsid w:val="00251E64"/>
    <w:rsid w:val="00251E7E"/>
    <w:rsid w:val="00251F53"/>
    <w:rsid w:val="00251FC3"/>
    <w:rsid w:val="00252043"/>
    <w:rsid w:val="0025215F"/>
    <w:rsid w:val="002522E3"/>
    <w:rsid w:val="00252455"/>
    <w:rsid w:val="002527A4"/>
    <w:rsid w:val="002527E2"/>
    <w:rsid w:val="00252E2F"/>
    <w:rsid w:val="00252ED9"/>
    <w:rsid w:val="0025306A"/>
    <w:rsid w:val="002530DD"/>
    <w:rsid w:val="002531A8"/>
    <w:rsid w:val="00253454"/>
    <w:rsid w:val="00253687"/>
    <w:rsid w:val="00253CA9"/>
    <w:rsid w:val="00254020"/>
    <w:rsid w:val="002540B6"/>
    <w:rsid w:val="002541F8"/>
    <w:rsid w:val="002545E2"/>
    <w:rsid w:val="002546D0"/>
    <w:rsid w:val="00254766"/>
    <w:rsid w:val="002549B8"/>
    <w:rsid w:val="00254B84"/>
    <w:rsid w:val="00254EEF"/>
    <w:rsid w:val="00254F06"/>
    <w:rsid w:val="00255226"/>
    <w:rsid w:val="002553B9"/>
    <w:rsid w:val="00255549"/>
    <w:rsid w:val="0025559B"/>
    <w:rsid w:val="002555EF"/>
    <w:rsid w:val="00255733"/>
    <w:rsid w:val="002559A0"/>
    <w:rsid w:val="00255B33"/>
    <w:rsid w:val="00255B35"/>
    <w:rsid w:val="00255B79"/>
    <w:rsid w:val="00255BA9"/>
    <w:rsid w:val="00255C08"/>
    <w:rsid w:val="00255C18"/>
    <w:rsid w:val="00255EDF"/>
    <w:rsid w:val="0025600B"/>
    <w:rsid w:val="002566B4"/>
    <w:rsid w:val="0025682A"/>
    <w:rsid w:val="00256952"/>
    <w:rsid w:val="00256BC4"/>
    <w:rsid w:val="00257007"/>
    <w:rsid w:val="002570AF"/>
    <w:rsid w:val="00257606"/>
    <w:rsid w:val="002576B7"/>
    <w:rsid w:val="002578EE"/>
    <w:rsid w:val="002578F3"/>
    <w:rsid w:val="00257A31"/>
    <w:rsid w:val="00257CD3"/>
    <w:rsid w:val="00257DED"/>
    <w:rsid w:val="00257F88"/>
    <w:rsid w:val="00257FF1"/>
    <w:rsid w:val="002601F7"/>
    <w:rsid w:val="00260307"/>
    <w:rsid w:val="00260536"/>
    <w:rsid w:val="0026067B"/>
    <w:rsid w:val="00260859"/>
    <w:rsid w:val="00260868"/>
    <w:rsid w:val="0026090C"/>
    <w:rsid w:val="00260CAC"/>
    <w:rsid w:val="0026101C"/>
    <w:rsid w:val="0026124D"/>
    <w:rsid w:val="002619C9"/>
    <w:rsid w:val="00262113"/>
    <w:rsid w:val="00262175"/>
    <w:rsid w:val="002621A8"/>
    <w:rsid w:val="0026262B"/>
    <w:rsid w:val="002627EC"/>
    <w:rsid w:val="00262889"/>
    <w:rsid w:val="002628A1"/>
    <w:rsid w:val="002628BA"/>
    <w:rsid w:val="002629FA"/>
    <w:rsid w:val="00262A3D"/>
    <w:rsid w:val="00262CE1"/>
    <w:rsid w:val="00262D4B"/>
    <w:rsid w:val="00262E9A"/>
    <w:rsid w:val="00263031"/>
    <w:rsid w:val="0026309C"/>
    <w:rsid w:val="002630F5"/>
    <w:rsid w:val="00263480"/>
    <w:rsid w:val="0026352F"/>
    <w:rsid w:val="0026367C"/>
    <w:rsid w:val="002638E2"/>
    <w:rsid w:val="0026399A"/>
    <w:rsid w:val="00263AA6"/>
    <w:rsid w:val="00263E1F"/>
    <w:rsid w:val="00263EFC"/>
    <w:rsid w:val="0026405A"/>
    <w:rsid w:val="00264623"/>
    <w:rsid w:val="002647CB"/>
    <w:rsid w:val="002647F1"/>
    <w:rsid w:val="002648AA"/>
    <w:rsid w:val="0026490C"/>
    <w:rsid w:val="00264961"/>
    <w:rsid w:val="00264D34"/>
    <w:rsid w:val="00264D6D"/>
    <w:rsid w:val="00264E99"/>
    <w:rsid w:val="00264F84"/>
    <w:rsid w:val="00265293"/>
    <w:rsid w:val="0026548E"/>
    <w:rsid w:val="002656E3"/>
    <w:rsid w:val="00265A99"/>
    <w:rsid w:val="00265CD8"/>
    <w:rsid w:val="00265F89"/>
    <w:rsid w:val="00265FE6"/>
    <w:rsid w:val="00266145"/>
    <w:rsid w:val="002665FA"/>
    <w:rsid w:val="002668BD"/>
    <w:rsid w:val="00266A93"/>
    <w:rsid w:val="00266E3A"/>
    <w:rsid w:val="00267029"/>
    <w:rsid w:val="002670A7"/>
    <w:rsid w:val="0026718E"/>
    <w:rsid w:val="002671BA"/>
    <w:rsid w:val="00267512"/>
    <w:rsid w:val="00267536"/>
    <w:rsid w:val="0026764E"/>
    <w:rsid w:val="00267948"/>
    <w:rsid w:val="0026797D"/>
    <w:rsid w:val="00267A5A"/>
    <w:rsid w:val="00267BF5"/>
    <w:rsid w:val="00267C07"/>
    <w:rsid w:val="00267F0C"/>
    <w:rsid w:val="002700AD"/>
    <w:rsid w:val="002701A9"/>
    <w:rsid w:val="002701E7"/>
    <w:rsid w:val="0027024A"/>
    <w:rsid w:val="0027033A"/>
    <w:rsid w:val="00270369"/>
    <w:rsid w:val="002705BE"/>
    <w:rsid w:val="0027079A"/>
    <w:rsid w:val="0027084E"/>
    <w:rsid w:val="00270878"/>
    <w:rsid w:val="002709D7"/>
    <w:rsid w:val="002709DC"/>
    <w:rsid w:val="00270C32"/>
    <w:rsid w:val="00270CBD"/>
    <w:rsid w:val="00270D53"/>
    <w:rsid w:val="00270E30"/>
    <w:rsid w:val="00270E55"/>
    <w:rsid w:val="00270F25"/>
    <w:rsid w:val="00271058"/>
    <w:rsid w:val="00271176"/>
    <w:rsid w:val="00271397"/>
    <w:rsid w:val="0027162C"/>
    <w:rsid w:val="00271865"/>
    <w:rsid w:val="00271D35"/>
    <w:rsid w:val="002723D4"/>
    <w:rsid w:val="00272602"/>
    <w:rsid w:val="002729A2"/>
    <w:rsid w:val="00272E82"/>
    <w:rsid w:val="00272EB2"/>
    <w:rsid w:val="00272EB3"/>
    <w:rsid w:val="00272F53"/>
    <w:rsid w:val="00272F91"/>
    <w:rsid w:val="002730E9"/>
    <w:rsid w:val="002732DD"/>
    <w:rsid w:val="002732EC"/>
    <w:rsid w:val="002737DD"/>
    <w:rsid w:val="00273949"/>
    <w:rsid w:val="0027399C"/>
    <w:rsid w:val="00273B9A"/>
    <w:rsid w:val="00273C51"/>
    <w:rsid w:val="00273D1C"/>
    <w:rsid w:val="00273DFB"/>
    <w:rsid w:val="002740BD"/>
    <w:rsid w:val="002740E5"/>
    <w:rsid w:val="00274167"/>
    <w:rsid w:val="0027416A"/>
    <w:rsid w:val="0027464A"/>
    <w:rsid w:val="002746EE"/>
    <w:rsid w:val="00274A28"/>
    <w:rsid w:val="00274DF0"/>
    <w:rsid w:val="00275445"/>
    <w:rsid w:val="002754BB"/>
    <w:rsid w:val="002754D9"/>
    <w:rsid w:val="002755F0"/>
    <w:rsid w:val="00275973"/>
    <w:rsid w:val="00275AD0"/>
    <w:rsid w:val="00275B2D"/>
    <w:rsid w:val="00275C49"/>
    <w:rsid w:val="00275C75"/>
    <w:rsid w:val="00275D62"/>
    <w:rsid w:val="00276355"/>
    <w:rsid w:val="002763D2"/>
    <w:rsid w:val="00276621"/>
    <w:rsid w:val="002768A1"/>
    <w:rsid w:val="00276B41"/>
    <w:rsid w:val="00277087"/>
    <w:rsid w:val="00277111"/>
    <w:rsid w:val="0027759D"/>
    <w:rsid w:val="002775D0"/>
    <w:rsid w:val="00277623"/>
    <w:rsid w:val="00277654"/>
    <w:rsid w:val="0027767C"/>
    <w:rsid w:val="002778AF"/>
    <w:rsid w:val="002778CF"/>
    <w:rsid w:val="002778D1"/>
    <w:rsid w:val="00277905"/>
    <w:rsid w:val="0027790D"/>
    <w:rsid w:val="002779A0"/>
    <w:rsid w:val="00277AEC"/>
    <w:rsid w:val="00277BB4"/>
    <w:rsid w:val="00277CDD"/>
    <w:rsid w:val="002801D1"/>
    <w:rsid w:val="00280817"/>
    <w:rsid w:val="00280A37"/>
    <w:rsid w:val="00280AC9"/>
    <w:rsid w:val="00280D71"/>
    <w:rsid w:val="00280F36"/>
    <w:rsid w:val="00280FDB"/>
    <w:rsid w:val="00281057"/>
    <w:rsid w:val="0028117A"/>
    <w:rsid w:val="00281575"/>
    <w:rsid w:val="00281986"/>
    <w:rsid w:val="00281C02"/>
    <w:rsid w:val="00281D22"/>
    <w:rsid w:val="00282190"/>
    <w:rsid w:val="00282200"/>
    <w:rsid w:val="00282290"/>
    <w:rsid w:val="002822BF"/>
    <w:rsid w:val="00282461"/>
    <w:rsid w:val="0028259D"/>
    <w:rsid w:val="0028267C"/>
    <w:rsid w:val="0028280C"/>
    <w:rsid w:val="0028289A"/>
    <w:rsid w:val="00282A76"/>
    <w:rsid w:val="00282B3A"/>
    <w:rsid w:val="00282CC7"/>
    <w:rsid w:val="00282E01"/>
    <w:rsid w:val="00282EE2"/>
    <w:rsid w:val="002830B4"/>
    <w:rsid w:val="002830D4"/>
    <w:rsid w:val="002831EE"/>
    <w:rsid w:val="00283287"/>
    <w:rsid w:val="00283328"/>
    <w:rsid w:val="0028341B"/>
    <w:rsid w:val="00283567"/>
    <w:rsid w:val="002835A0"/>
    <w:rsid w:val="002837BC"/>
    <w:rsid w:val="00283832"/>
    <w:rsid w:val="00283A64"/>
    <w:rsid w:val="00283A98"/>
    <w:rsid w:val="00283B4D"/>
    <w:rsid w:val="00283B82"/>
    <w:rsid w:val="00283C6A"/>
    <w:rsid w:val="00283CC4"/>
    <w:rsid w:val="00283DA7"/>
    <w:rsid w:val="00283E0A"/>
    <w:rsid w:val="00283F0B"/>
    <w:rsid w:val="00283F54"/>
    <w:rsid w:val="00283F8B"/>
    <w:rsid w:val="00283FED"/>
    <w:rsid w:val="00284162"/>
    <w:rsid w:val="00284268"/>
    <w:rsid w:val="002844E9"/>
    <w:rsid w:val="002846B2"/>
    <w:rsid w:val="002847AD"/>
    <w:rsid w:val="0028487B"/>
    <w:rsid w:val="00284934"/>
    <w:rsid w:val="002849EF"/>
    <w:rsid w:val="00284BA9"/>
    <w:rsid w:val="00284C91"/>
    <w:rsid w:val="0028522D"/>
    <w:rsid w:val="002853B2"/>
    <w:rsid w:val="0028548F"/>
    <w:rsid w:val="00285509"/>
    <w:rsid w:val="002856D4"/>
    <w:rsid w:val="00285B04"/>
    <w:rsid w:val="00285C47"/>
    <w:rsid w:val="00285DF6"/>
    <w:rsid w:val="00285EB9"/>
    <w:rsid w:val="00285EEB"/>
    <w:rsid w:val="0028604A"/>
    <w:rsid w:val="002860C3"/>
    <w:rsid w:val="00286157"/>
    <w:rsid w:val="002865FF"/>
    <w:rsid w:val="002868D6"/>
    <w:rsid w:val="00286929"/>
    <w:rsid w:val="00286B71"/>
    <w:rsid w:val="00286E85"/>
    <w:rsid w:val="00286F51"/>
    <w:rsid w:val="00287145"/>
    <w:rsid w:val="0028717A"/>
    <w:rsid w:val="0028736F"/>
    <w:rsid w:val="0028738F"/>
    <w:rsid w:val="00287489"/>
    <w:rsid w:val="00287528"/>
    <w:rsid w:val="00287600"/>
    <w:rsid w:val="002877C9"/>
    <w:rsid w:val="00287895"/>
    <w:rsid w:val="00287AE8"/>
    <w:rsid w:val="00287B2A"/>
    <w:rsid w:val="00287B44"/>
    <w:rsid w:val="0029009D"/>
    <w:rsid w:val="002900E0"/>
    <w:rsid w:val="002900F6"/>
    <w:rsid w:val="00290321"/>
    <w:rsid w:val="00290581"/>
    <w:rsid w:val="00290639"/>
    <w:rsid w:val="002906FF"/>
    <w:rsid w:val="00290910"/>
    <w:rsid w:val="002909E5"/>
    <w:rsid w:val="00290B6D"/>
    <w:rsid w:val="00290BC7"/>
    <w:rsid w:val="00290D68"/>
    <w:rsid w:val="00290FF8"/>
    <w:rsid w:val="00291559"/>
    <w:rsid w:val="002915E6"/>
    <w:rsid w:val="00291726"/>
    <w:rsid w:val="002917BD"/>
    <w:rsid w:val="00291E11"/>
    <w:rsid w:val="00291E4A"/>
    <w:rsid w:val="002920BF"/>
    <w:rsid w:val="002920F2"/>
    <w:rsid w:val="00292240"/>
    <w:rsid w:val="00292367"/>
    <w:rsid w:val="002923FC"/>
    <w:rsid w:val="00292544"/>
    <w:rsid w:val="00292594"/>
    <w:rsid w:val="002925D2"/>
    <w:rsid w:val="0029283B"/>
    <w:rsid w:val="002928ED"/>
    <w:rsid w:val="002929C3"/>
    <w:rsid w:val="00292A1D"/>
    <w:rsid w:val="00292A74"/>
    <w:rsid w:val="00292B29"/>
    <w:rsid w:val="00292DD7"/>
    <w:rsid w:val="00292F0C"/>
    <w:rsid w:val="002933F9"/>
    <w:rsid w:val="00293599"/>
    <w:rsid w:val="00293A23"/>
    <w:rsid w:val="00293C27"/>
    <w:rsid w:val="00293D05"/>
    <w:rsid w:val="00293DA6"/>
    <w:rsid w:val="00293EC1"/>
    <w:rsid w:val="00294648"/>
    <w:rsid w:val="00294812"/>
    <w:rsid w:val="002949B5"/>
    <w:rsid w:val="00294B94"/>
    <w:rsid w:val="00294D32"/>
    <w:rsid w:val="00294E5E"/>
    <w:rsid w:val="0029504A"/>
    <w:rsid w:val="0029527F"/>
    <w:rsid w:val="0029544C"/>
    <w:rsid w:val="00295451"/>
    <w:rsid w:val="0029554A"/>
    <w:rsid w:val="002955E9"/>
    <w:rsid w:val="00295629"/>
    <w:rsid w:val="00295683"/>
    <w:rsid w:val="00295739"/>
    <w:rsid w:val="002958DF"/>
    <w:rsid w:val="002961A5"/>
    <w:rsid w:val="002961D2"/>
    <w:rsid w:val="002961EE"/>
    <w:rsid w:val="00296284"/>
    <w:rsid w:val="00296442"/>
    <w:rsid w:val="00296444"/>
    <w:rsid w:val="002965D9"/>
    <w:rsid w:val="00296AA3"/>
    <w:rsid w:val="00296C65"/>
    <w:rsid w:val="00296D17"/>
    <w:rsid w:val="00296F91"/>
    <w:rsid w:val="0029710A"/>
    <w:rsid w:val="0029712A"/>
    <w:rsid w:val="00297217"/>
    <w:rsid w:val="0029737B"/>
    <w:rsid w:val="002974BB"/>
    <w:rsid w:val="00297532"/>
    <w:rsid w:val="00297858"/>
    <w:rsid w:val="00297CFB"/>
    <w:rsid w:val="00297DBE"/>
    <w:rsid w:val="00297E11"/>
    <w:rsid w:val="00297E20"/>
    <w:rsid w:val="002A031D"/>
    <w:rsid w:val="002A0528"/>
    <w:rsid w:val="002A05C3"/>
    <w:rsid w:val="002A05E5"/>
    <w:rsid w:val="002A08C7"/>
    <w:rsid w:val="002A0B32"/>
    <w:rsid w:val="002A0BFB"/>
    <w:rsid w:val="002A0C95"/>
    <w:rsid w:val="002A112D"/>
    <w:rsid w:val="002A1371"/>
    <w:rsid w:val="002A15F7"/>
    <w:rsid w:val="002A1764"/>
    <w:rsid w:val="002A17EF"/>
    <w:rsid w:val="002A193A"/>
    <w:rsid w:val="002A19CC"/>
    <w:rsid w:val="002A1C47"/>
    <w:rsid w:val="002A1DDC"/>
    <w:rsid w:val="002A205F"/>
    <w:rsid w:val="002A2083"/>
    <w:rsid w:val="002A2212"/>
    <w:rsid w:val="002A24B9"/>
    <w:rsid w:val="002A26F1"/>
    <w:rsid w:val="002A26F3"/>
    <w:rsid w:val="002A2804"/>
    <w:rsid w:val="002A2A26"/>
    <w:rsid w:val="002A2C23"/>
    <w:rsid w:val="002A2E17"/>
    <w:rsid w:val="002A3040"/>
    <w:rsid w:val="002A314D"/>
    <w:rsid w:val="002A31B9"/>
    <w:rsid w:val="002A3676"/>
    <w:rsid w:val="002A3756"/>
    <w:rsid w:val="002A39BB"/>
    <w:rsid w:val="002A3B03"/>
    <w:rsid w:val="002A3BB9"/>
    <w:rsid w:val="002A3C7C"/>
    <w:rsid w:val="002A3C91"/>
    <w:rsid w:val="002A3CE5"/>
    <w:rsid w:val="002A41F6"/>
    <w:rsid w:val="002A4274"/>
    <w:rsid w:val="002A4466"/>
    <w:rsid w:val="002A44FA"/>
    <w:rsid w:val="002A44FE"/>
    <w:rsid w:val="002A4555"/>
    <w:rsid w:val="002A45AB"/>
    <w:rsid w:val="002A4635"/>
    <w:rsid w:val="002A463F"/>
    <w:rsid w:val="002A479A"/>
    <w:rsid w:val="002A4CB4"/>
    <w:rsid w:val="002A4CFF"/>
    <w:rsid w:val="002A4E27"/>
    <w:rsid w:val="002A4EEE"/>
    <w:rsid w:val="002A5077"/>
    <w:rsid w:val="002A551E"/>
    <w:rsid w:val="002A572F"/>
    <w:rsid w:val="002A5949"/>
    <w:rsid w:val="002A5A56"/>
    <w:rsid w:val="002A5B18"/>
    <w:rsid w:val="002A5B7E"/>
    <w:rsid w:val="002A5BEF"/>
    <w:rsid w:val="002A5C11"/>
    <w:rsid w:val="002A5C87"/>
    <w:rsid w:val="002A5DAA"/>
    <w:rsid w:val="002A5E88"/>
    <w:rsid w:val="002A5FA2"/>
    <w:rsid w:val="002A616C"/>
    <w:rsid w:val="002A6347"/>
    <w:rsid w:val="002A6899"/>
    <w:rsid w:val="002A6965"/>
    <w:rsid w:val="002A696E"/>
    <w:rsid w:val="002A69F8"/>
    <w:rsid w:val="002A6DE7"/>
    <w:rsid w:val="002A6E5A"/>
    <w:rsid w:val="002A6EA3"/>
    <w:rsid w:val="002A6FC3"/>
    <w:rsid w:val="002A705B"/>
    <w:rsid w:val="002A7322"/>
    <w:rsid w:val="002A76A9"/>
    <w:rsid w:val="002A77A1"/>
    <w:rsid w:val="002A7948"/>
    <w:rsid w:val="002A79AA"/>
    <w:rsid w:val="002A7B27"/>
    <w:rsid w:val="002A7B41"/>
    <w:rsid w:val="002A7CAC"/>
    <w:rsid w:val="002A7D59"/>
    <w:rsid w:val="002B01F7"/>
    <w:rsid w:val="002B03D6"/>
    <w:rsid w:val="002B0433"/>
    <w:rsid w:val="002B0575"/>
    <w:rsid w:val="002B06D9"/>
    <w:rsid w:val="002B099D"/>
    <w:rsid w:val="002B09DA"/>
    <w:rsid w:val="002B0B2D"/>
    <w:rsid w:val="002B0B4D"/>
    <w:rsid w:val="002B0CA1"/>
    <w:rsid w:val="002B0CB8"/>
    <w:rsid w:val="002B106F"/>
    <w:rsid w:val="002B122D"/>
    <w:rsid w:val="002B1614"/>
    <w:rsid w:val="002B189C"/>
    <w:rsid w:val="002B1914"/>
    <w:rsid w:val="002B1B5F"/>
    <w:rsid w:val="002B20EC"/>
    <w:rsid w:val="002B21A9"/>
    <w:rsid w:val="002B22C2"/>
    <w:rsid w:val="002B22E7"/>
    <w:rsid w:val="002B257C"/>
    <w:rsid w:val="002B265C"/>
    <w:rsid w:val="002B27F3"/>
    <w:rsid w:val="002B2835"/>
    <w:rsid w:val="002B2A95"/>
    <w:rsid w:val="002B2B02"/>
    <w:rsid w:val="002B2B12"/>
    <w:rsid w:val="002B2C50"/>
    <w:rsid w:val="002B2C83"/>
    <w:rsid w:val="002B2D90"/>
    <w:rsid w:val="002B2DC4"/>
    <w:rsid w:val="002B2DF6"/>
    <w:rsid w:val="002B2E95"/>
    <w:rsid w:val="002B2FA7"/>
    <w:rsid w:val="002B3283"/>
    <w:rsid w:val="002B331E"/>
    <w:rsid w:val="002B3471"/>
    <w:rsid w:val="002B349B"/>
    <w:rsid w:val="002B36D0"/>
    <w:rsid w:val="002B3814"/>
    <w:rsid w:val="002B3833"/>
    <w:rsid w:val="002B38DD"/>
    <w:rsid w:val="002B3BA8"/>
    <w:rsid w:val="002B3E25"/>
    <w:rsid w:val="002B40F5"/>
    <w:rsid w:val="002B41CA"/>
    <w:rsid w:val="002B420D"/>
    <w:rsid w:val="002B4286"/>
    <w:rsid w:val="002B4475"/>
    <w:rsid w:val="002B4735"/>
    <w:rsid w:val="002B47BC"/>
    <w:rsid w:val="002B49B8"/>
    <w:rsid w:val="002B4BA8"/>
    <w:rsid w:val="002B4D67"/>
    <w:rsid w:val="002B4DB1"/>
    <w:rsid w:val="002B4EC0"/>
    <w:rsid w:val="002B53A0"/>
    <w:rsid w:val="002B53A1"/>
    <w:rsid w:val="002B5791"/>
    <w:rsid w:val="002B593C"/>
    <w:rsid w:val="002B5A54"/>
    <w:rsid w:val="002B5D66"/>
    <w:rsid w:val="002B5E74"/>
    <w:rsid w:val="002B5F20"/>
    <w:rsid w:val="002B5F49"/>
    <w:rsid w:val="002B5FCE"/>
    <w:rsid w:val="002B60DC"/>
    <w:rsid w:val="002B60FF"/>
    <w:rsid w:val="002B6317"/>
    <w:rsid w:val="002B65A7"/>
    <w:rsid w:val="002B693E"/>
    <w:rsid w:val="002B6EB3"/>
    <w:rsid w:val="002B720C"/>
    <w:rsid w:val="002B7227"/>
    <w:rsid w:val="002B742B"/>
    <w:rsid w:val="002B759F"/>
    <w:rsid w:val="002B7644"/>
    <w:rsid w:val="002B778A"/>
    <w:rsid w:val="002B78FE"/>
    <w:rsid w:val="002B7AC1"/>
    <w:rsid w:val="002B7F1B"/>
    <w:rsid w:val="002C005C"/>
    <w:rsid w:val="002C00E5"/>
    <w:rsid w:val="002C0376"/>
    <w:rsid w:val="002C0838"/>
    <w:rsid w:val="002C09DE"/>
    <w:rsid w:val="002C0D8B"/>
    <w:rsid w:val="002C0DE4"/>
    <w:rsid w:val="002C11DB"/>
    <w:rsid w:val="002C1260"/>
    <w:rsid w:val="002C1317"/>
    <w:rsid w:val="002C1423"/>
    <w:rsid w:val="002C1525"/>
    <w:rsid w:val="002C18F6"/>
    <w:rsid w:val="002C197A"/>
    <w:rsid w:val="002C1983"/>
    <w:rsid w:val="002C19B8"/>
    <w:rsid w:val="002C1B79"/>
    <w:rsid w:val="002C20A9"/>
    <w:rsid w:val="002C25A3"/>
    <w:rsid w:val="002C2671"/>
    <w:rsid w:val="002C27CA"/>
    <w:rsid w:val="002C2866"/>
    <w:rsid w:val="002C29FD"/>
    <w:rsid w:val="002C2B38"/>
    <w:rsid w:val="002C2B69"/>
    <w:rsid w:val="002C2C7C"/>
    <w:rsid w:val="002C2CDC"/>
    <w:rsid w:val="002C2D72"/>
    <w:rsid w:val="002C2D84"/>
    <w:rsid w:val="002C2F6D"/>
    <w:rsid w:val="002C2F98"/>
    <w:rsid w:val="002C3914"/>
    <w:rsid w:val="002C3A2B"/>
    <w:rsid w:val="002C3A32"/>
    <w:rsid w:val="002C3B1A"/>
    <w:rsid w:val="002C3B8F"/>
    <w:rsid w:val="002C3D72"/>
    <w:rsid w:val="002C3EB7"/>
    <w:rsid w:val="002C3EF2"/>
    <w:rsid w:val="002C3F84"/>
    <w:rsid w:val="002C3FD0"/>
    <w:rsid w:val="002C429A"/>
    <w:rsid w:val="002C4315"/>
    <w:rsid w:val="002C44AA"/>
    <w:rsid w:val="002C4587"/>
    <w:rsid w:val="002C4A4D"/>
    <w:rsid w:val="002C4B6C"/>
    <w:rsid w:val="002C4EDF"/>
    <w:rsid w:val="002C4FEA"/>
    <w:rsid w:val="002C50E5"/>
    <w:rsid w:val="002C5336"/>
    <w:rsid w:val="002C54BF"/>
    <w:rsid w:val="002C58C8"/>
    <w:rsid w:val="002C5B99"/>
    <w:rsid w:val="002C5DAB"/>
    <w:rsid w:val="002C5DF2"/>
    <w:rsid w:val="002C5FB5"/>
    <w:rsid w:val="002C607C"/>
    <w:rsid w:val="002C6140"/>
    <w:rsid w:val="002C62AC"/>
    <w:rsid w:val="002C63EB"/>
    <w:rsid w:val="002C64D1"/>
    <w:rsid w:val="002C6524"/>
    <w:rsid w:val="002C65A0"/>
    <w:rsid w:val="002C65ED"/>
    <w:rsid w:val="002C6709"/>
    <w:rsid w:val="002C6A14"/>
    <w:rsid w:val="002C6B08"/>
    <w:rsid w:val="002C6BEE"/>
    <w:rsid w:val="002C6C26"/>
    <w:rsid w:val="002C6CA0"/>
    <w:rsid w:val="002C6CA4"/>
    <w:rsid w:val="002C6DFD"/>
    <w:rsid w:val="002C6F61"/>
    <w:rsid w:val="002C711A"/>
    <w:rsid w:val="002C71D7"/>
    <w:rsid w:val="002C7323"/>
    <w:rsid w:val="002C73BE"/>
    <w:rsid w:val="002C75C8"/>
    <w:rsid w:val="002C769A"/>
    <w:rsid w:val="002C7873"/>
    <w:rsid w:val="002C7A36"/>
    <w:rsid w:val="002C7B89"/>
    <w:rsid w:val="002C7C81"/>
    <w:rsid w:val="002D014D"/>
    <w:rsid w:val="002D01BC"/>
    <w:rsid w:val="002D01F4"/>
    <w:rsid w:val="002D0417"/>
    <w:rsid w:val="002D0518"/>
    <w:rsid w:val="002D0562"/>
    <w:rsid w:val="002D084F"/>
    <w:rsid w:val="002D093D"/>
    <w:rsid w:val="002D0CA3"/>
    <w:rsid w:val="002D0CFC"/>
    <w:rsid w:val="002D1038"/>
    <w:rsid w:val="002D118D"/>
    <w:rsid w:val="002D1426"/>
    <w:rsid w:val="002D1441"/>
    <w:rsid w:val="002D15C2"/>
    <w:rsid w:val="002D16F3"/>
    <w:rsid w:val="002D16F5"/>
    <w:rsid w:val="002D17EF"/>
    <w:rsid w:val="002D1927"/>
    <w:rsid w:val="002D1948"/>
    <w:rsid w:val="002D1957"/>
    <w:rsid w:val="002D1B4C"/>
    <w:rsid w:val="002D1C6B"/>
    <w:rsid w:val="002D1EF9"/>
    <w:rsid w:val="002D1FC9"/>
    <w:rsid w:val="002D215B"/>
    <w:rsid w:val="002D223E"/>
    <w:rsid w:val="002D25D7"/>
    <w:rsid w:val="002D2724"/>
    <w:rsid w:val="002D27A9"/>
    <w:rsid w:val="002D280E"/>
    <w:rsid w:val="002D282D"/>
    <w:rsid w:val="002D28C4"/>
    <w:rsid w:val="002D2A9E"/>
    <w:rsid w:val="002D2CD3"/>
    <w:rsid w:val="002D2E14"/>
    <w:rsid w:val="002D2ED4"/>
    <w:rsid w:val="002D2FBF"/>
    <w:rsid w:val="002D31C2"/>
    <w:rsid w:val="002D34BE"/>
    <w:rsid w:val="002D35DF"/>
    <w:rsid w:val="002D3662"/>
    <w:rsid w:val="002D3A46"/>
    <w:rsid w:val="002D3ADE"/>
    <w:rsid w:val="002D3C6C"/>
    <w:rsid w:val="002D3F14"/>
    <w:rsid w:val="002D44BC"/>
    <w:rsid w:val="002D4840"/>
    <w:rsid w:val="002D48C1"/>
    <w:rsid w:val="002D49B0"/>
    <w:rsid w:val="002D4C15"/>
    <w:rsid w:val="002D4E77"/>
    <w:rsid w:val="002D5260"/>
    <w:rsid w:val="002D55EF"/>
    <w:rsid w:val="002D583C"/>
    <w:rsid w:val="002D5911"/>
    <w:rsid w:val="002D5C02"/>
    <w:rsid w:val="002D5CC1"/>
    <w:rsid w:val="002D5E49"/>
    <w:rsid w:val="002D5F8D"/>
    <w:rsid w:val="002D5FA6"/>
    <w:rsid w:val="002D62A9"/>
    <w:rsid w:val="002D6402"/>
    <w:rsid w:val="002D64BA"/>
    <w:rsid w:val="002D6528"/>
    <w:rsid w:val="002D6645"/>
    <w:rsid w:val="002D66EB"/>
    <w:rsid w:val="002D6A90"/>
    <w:rsid w:val="002D6B9F"/>
    <w:rsid w:val="002D6D7F"/>
    <w:rsid w:val="002D70CF"/>
    <w:rsid w:val="002D76D8"/>
    <w:rsid w:val="002D7712"/>
    <w:rsid w:val="002D7D66"/>
    <w:rsid w:val="002E043E"/>
    <w:rsid w:val="002E0441"/>
    <w:rsid w:val="002E047D"/>
    <w:rsid w:val="002E0494"/>
    <w:rsid w:val="002E0498"/>
    <w:rsid w:val="002E060A"/>
    <w:rsid w:val="002E06BF"/>
    <w:rsid w:val="002E0897"/>
    <w:rsid w:val="002E0919"/>
    <w:rsid w:val="002E098D"/>
    <w:rsid w:val="002E0ACC"/>
    <w:rsid w:val="002E0D39"/>
    <w:rsid w:val="002E0E78"/>
    <w:rsid w:val="002E0F7A"/>
    <w:rsid w:val="002E13C0"/>
    <w:rsid w:val="002E13DE"/>
    <w:rsid w:val="002E14E4"/>
    <w:rsid w:val="002E1738"/>
    <w:rsid w:val="002E1770"/>
    <w:rsid w:val="002E190B"/>
    <w:rsid w:val="002E19B5"/>
    <w:rsid w:val="002E213F"/>
    <w:rsid w:val="002E218A"/>
    <w:rsid w:val="002E21D5"/>
    <w:rsid w:val="002E2602"/>
    <w:rsid w:val="002E2626"/>
    <w:rsid w:val="002E27E8"/>
    <w:rsid w:val="002E2917"/>
    <w:rsid w:val="002E2B27"/>
    <w:rsid w:val="002E2C91"/>
    <w:rsid w:val="002E2F79"/>
    <w:rsid w:val="002E3128"/>
    <w:rsid w:val="002E3444"/>
    <w:rsid w:val="002E370A"/>
    <w:rsid w:val="002E385E"/>
    <w:rsid w:val="002E3969"/>
    <w:rsid w:val="002E3AAA"/>
    <w:rsid w:val="002E3B36"/>
    <w:rsid w:val="002E40B8"/>
    <w:rsid w:val="002E40C8"/>
    <w:rsid w:val="002E4240"/>
    <w:rsid w:val="002E460D"/>
    <w:rsid w:val="002E46E1"/>
    <w:rsid w:val="002E4922"/>
    <w:rsid w:val="002E4C00"/>
    <w:rsid w:val="002E4C54"/>
    <w:rsid w:val="002E4DFD"/>
    <w:rsid w:val="002E4E65"/>
    <w:rsid w:val="002E4F02"/>
    <w:rsid w:val="002E5017"/>
    <w:rsid w:val="002E5201"/>
    <w:rsid w:val="002E523A"/>
    <w:rsid w:val="002E54EB"/>
    <w:rsid w:val="002E55DE"/>
    <w:rsid w:val="002E55EF"/>
    <w:rsid w:val="002E568F"/>
    <w:rsid w:val="002E5691"/>
    <w:rsid w:val="002E5694"/>
    <w:rsid w:val="002E57F5"/>
    <w:rsid w:val="002E59B6"/>
    <w:rsid w:val="002E5F90"/>
    <w:rsid w:val="002E6219"/>
    <w:rsid w:val="002E6370"/>
    <w:rsid w:val="002E65F2"/>
    <w:rsid w:val="002E6613"/>
    <w:rsid w:val="002E6775"/>
    <w:rsid w:val="002E68D8"/>
    <w:rsid w:val="002E694D"/>
    <w:rsid w:val="002E6A39"/>
    <w:rsid w:val="002E7062"/>
    <w:rsid w:val="002E70E5"/>
    <w:rsid w:val="002E70F6"/>
    <w:rsid w:val="002E71DE"/>
    <w:rsid w:val="002E72DE"/>
    <w:rsid w:val="002E73AC"/>
    <w:rsid w:val="002E7483"/>
    <w:rsid w:val="002E7A24"/>
    <w:rsid w:val="002E7F85"/>
    <w:rsid w:val="002F0021"/>
    <w:rsid w:val="002F0023"/>
    <w:rsid w:val="002F00E6"/>
    <w:rsid w:val="002F0134"/>
    <w:rsid w:val="002F02CC"/>
    <w:rsid w:val="002F0305"/>
    <w:rsid w:val="002F03EF"/>
    <w:rsid w:val="002F0725"/>
    <w:rsid w:val="002F087A"/>
    <w:rsid w:val="002F0BBE"/>
    <w:rsid w:val="002F0BE3"/>
    <w:rsid w:val="002F11A4"/>
    <w:rsid w:val="002F139D"/>
    <w:rsid w:val="002F14D2"/>
    <w:rsid w:val="002F1561"/>
    <w:rsid w:val="002F157E"/>
    <w:rsid w:val="002F163B"/>
    <w:rsid w:val="002F1AD0"/>
    <w:rsid w:val="002F1B81"/>
    <w:rsid w:val="002F1C7E"/>
    <w:rsid w:val="002F1CCE"/>
    <w:rsid w:val="002F227F"/>
    <w:rsid w:val="002F228D"/>
    <w:rsid w:val="002F237B"/>
    <w:rsid w:val="002F2437"/>
    <w:rsid w:val="002F254F"/>
    <w:rsid w:val="002F288D"/>
    <w:rsid w:val="002F2966"/>
    <w:rsid w:val="002F2A06"/>
    <w:rsid w:val="002F2A0C"/>
    <w:rsid w:val="002F36AD"/>
    <w:rsid w:val="002F3740"/>
    <w:rsid w:val="002F38C9"/>
    <w:rsid w:val="002F3A8B"/>
    <w:rsid w:val="002F3C2B"/>
    <w:rsid w:val="002F3C3B"/>
    <w:rsid w:val="002F3D34"/>
    <w:rsid w:val="002F3D87"/>
    <w:rsid w:val="002F3DCE"/>
    <w:rsid w:val="002F3DE2"/>
    <w:rsid w:val="002F3F27"/>
    <w:rsid w:val="002F3FE3"/>
    <w:rsid w:val="002F41CB"/>
    <w:rsid w:val="002F4202"/>
    <w:rsid w:val="002F44C6"/>
    <w:rsid w:val="002F48E9"/>
    <w:rsid w:val="002F4AB2"/>
    <w:rsid w:val="002F4C7B"/>
    <w:rsid w:val="002F4D64"/>
    <w:rsid w:val="002F4E6A"/>
    <w:rsid w:val="002F4F73"/>
    <w:rsid w:val="002F4F8B"/>
    <w:rsid w:val="002F51A3"/>
    <w:rsid w:val="002F5249"/>
    <w:rsid w:val="002F5348"/>
    <w:rsid w:val="002F5412"/>
    <w:rsid w:val="002F5421"/>
    <w:rsid w:val="002F56AA"/>
    <w:rsid w:val="002F56F1"/>
    <w:rsid w:val="002F57C6"/>
    <w:rsid w:val="002F5908"/>
    <w:rsid w:val="002F5F3A"/>
    <w:rsid w:val="002F5F5D"/>
    <w:rsid w:val="002F5F60"/>
    <w:rsid w:val="002F6507"/>
    <w:rsid w:val="002F65C5"/>
    <w:rsid w:val="002F6757"/>
    <w:rsid w:val="002F6B76"/>
    <w:rsid w:val="002F6C68"/>
    <w:rsid w:val="002F6E08"/>
    <w:rsid w:val="002F6E7E"/>
    <w:rsid w:val="002F6F4F"/>
    <w:rsid w:val="002F6F8D"/>
    <w:rsid w:val="002F6FBF"/>
    <w:rsid w:val="002F7117"/>
    <w:rsid w:val="002F7649"/>
    <w:rsid w:val="002F7701"/>
    <w:rsid w:val="002F7B74"/>
    <w:rsid w:val="002F7BFA"/>
    <w:rsid w:val="002F7D09"/>
    <w:rsid w:val="002F7E09"/>
    <w:rsid w:val="00300044"/>
    <w:rsid w:val="003000EF"/>
    <w:rsid w:val="00300239"/>
    <w:rsid w:val="00300357"/>
    <w:rsid w:val="003004C0"/>
    <w:rsid w:val="0030069A"/>
    <w:rsid w:val="003006CA"/>
    <w:rsid w:val="003006E4"/>
    <w:rsid w:val="00300856"/>
    <w:rsid w:val="00300AEA"/>
    <w:rsid w:val="00300DFA"/>
    <w:rsid w:val="00300E48"/>
    <w:rsid w:val="00300F3A"/>
    <w:rsid w:val="00300FC5"/>
    <w:rsid w:val="0030101E"/>
    <w:rsid w:val="0030102A"/>
    <w:rsid w:val="003010E5"/>
    <w:rsid w:val="00301564"/>
    <w:rsid w:val="003015DA"/>
    <w:rsid w:val="00301809"/>
    <w:rsid w:val="0030196C"/>
    <w:rsid w:val="00301987"/>
    <w:rsid w:val="00302126"/>
    <w:rsid w:val="0030216C"/>
    <w:rsid w:val="0030257C"/>
    <w:rsid w:val="0030261A"/>
    <w:rsid w:val="003026E4"/>
    <w:rsid w:val="003026ED"/>
    <w:rsid w:val="0030291F"/>
    <w:rsid w:val="00302BC2"/>
    <w:rsid w:val="00302E08"/>
    <w:rsid w:val="0030316F"/>
    <w:rsid w:val="00303388"/>
    <w:rsid w:val="003034FD"/>
    <w:rsid w:val="00303764"/>
    <w:rsid w:val="003037BF"/>
    <w:rsid w:val="0030381A"/>
    <w:rsid w:val="00303846"/>
    <w:rsid w:val="003038C4"/>
    <w:rsid w:val="00303943"/>
    <w:rsid w:val="00303AC8"/>
    <w:rsid w:val="00303E67"/>
    <w:rsid w:val="00303F81"/>
    <w:rsid w:val="00303FA7"/>
    <w:rsid w:val="003041CD"/>
    <w:rsid w:val="0030435B"/>
    <w:rsid w:val="0030436B"/>
    <w:rsid w:val="00304593"/>
    <w:rsid w:val="003046FE"/>
    <w:rsid w:val="0030476A"/>
    <w:rsid w:val="003048D2"/>
    <w:rsid w:val="00304B93"/>
    <w:rsid w:val="00304B9D"/>
    <w:rsid w:val="00304E72"/>
    <w:rsid w:val="00304FE2"/>
    <w:rsid w:val="00305004"/>
    <w:rsid w:val="00305153"/>
    <w:rsid w:val="0030544E"/>
    <w:rsid w:val="00305832"/>
    <w:rsid w:val="00305AEF"/>
    <w:rsid w:val="00305D55"/>
    <w:rsid w:val="00305D98"/>
    <w:rsid w:val="00305DFD"/>
    <w:rsid w:val="00305E0B"/>
    <w:rsid w:val="00305E28"/>
    <w:rsid w:val="00305E67"/>
    <w:rsid w:val="00305F20"/>
    <w:rsid w:val="00305FBC"/>
    <w:rsid w:val="00305FF2"/>
    <w:rsid w:val="003061C5"/>
    <w:rsid w:val="003061D1"/>
    <w:rsid w:val="003061FA"/>
    <w:rsid w:val="00306300"/>
    <w:rsid w:val="0030631D"/>
    <w:rsid w:val="003066FB"/>
    <w:rsid w:val="00306C77"/>
    <w:rsid w:val="00306DE6"/>
    <w:rsid w:val="00306E65"/>
    <w:rsid w:val="00306FA6"/>
    <w:rsid w:val="0030700D"/>
    <w:rsid w:val="003070AB"/>
    <w:rsid w:val="003070E7"/>
    <w:rsid w:val="0030713A"/>
    <w:rsid w:val="003071B4"/>
    <w:rsid w:val="003071B9"/>
    <w:rsid w:val="00307200"/>
    <w:rsid w:val="00307652"/>
    <w:rsid w:val="0030765E"/>
    <w:rsid w:val="00307724"/>
    <w:rsid w:val="003077BD"/>
    <w:rsid w:val="003100DA"/>
    <w:rsid w:val="003101B9"/>
    <w:rsid w:val="00310350"/>
    <w:rsid w:val="003104EA"/>
    <w:rsid w:val="00310613"/>
    <w:rsid w:val="003107C9"/>
    <w:rsid w:val="003109EF"/>
    <w:rsid w:val="00310AA2"/>
    <w:rsid w:val="00310AAF"/>
    <w:rsid w:val="00310AB2"/>
    <w:rsid w:val="00310AF8"/>
    <w:rsid w:val="00310C5C"/>
    <w:rsid w:val="00310C74"/>
    <w:rsid w:val="00310D91"/>
    <w:rsid w:val="00310DE6"/>
    <w:rsid w:val="00310F0C"/>
    <w:rsid w:val="00310F28"/>
    <w:rsid w:val="00310F2F"/>
    <w:rsid w:val="0031142D"/>
    <w:rsid w:val="003114D1"/>
    <w:rsid w:val="003114D5"/>
    <w:rsid w:val="00311682"/>
    <w:rsid w:val="0031195D"/>
    <w:rsid w:val="00311CFD"/>
    <w:rsid w:val="00311D36"/>
    <w:rsid w:val="00311EDF"/>
    <w:rsid w:val="003120C5"/>
    <w:rsid w:val="00312201"/>
    <w:rsid w:val="00312502"/>
    <w:rsid w:val="003126EE"/>
    <w:rsid w:val="003127CF"/>
    <w:rsid w:val="00312872"/>
    <w:rsid w:val="003128AF"/>
    <w:rsid w:val="00312B48"/>
    <w:rsid w:val="00312DF0"/>
    <w:rsid w:val="00312ECF"/>
    <w:rsid w:val="00312F55"/>
    <w:rsid w:val="00312FA5"/>
    <w:rsid w:val="00312FF7"/>
    <w:rsid w:val="00313942"/>
    <w:rsid w:val="0031398D"/>
    <w:rsid w:val="00313A37"/>
    <w:rsid w:val="00313F2E"/>
    <w:rsid w:val="00313F9F"/>
    <w:rsid w:val="0031447C"/>
    <w:rsid w:val="003144E5"/>
    <w:rsid w:val="003147CE"/>
    <w:rsid w:val="00314937"/>
    <w:rsid w:val="0031494B"/>
    <w:rsid w:val="00314CD7"/>
    <w:rsid w:val="00314EE0"/>
    <w:rsid w:val="00314EE3"/>
    <w:rsid w:val="00314F23"/>
    <w:rsid w:val="00314F46"/>
    <w:rsid w:val="00315603"/>
    <w:rsid w:val="00315805"/>
    <w:rsid w:val="00315820"/>
    <w:rsid w:val="0031598C"/>
    <w:rsid w:val="00315A17"/>
    <w:rsid w:val="00315C0D"/>
    <w:rsid w:val="00315C9D"/>
    <w:rsid w:val="00315DAD"/>
    <w:rsid w:val="00315EAC"/>
    <w:rsid w:val="00316037"/>
    <w:rsid w:val="00316275"/>
    <w:rsid w:val="003163A4"/>
    <w:rsid w:val="003164A2"/>
    <w:rsid w:val="0031650B"/>
    <w:rsid w:val="00316ACB"/>
    <w:rsid w:val="00316CF0"/>
    <w:rsid w:val="00316D0D"/>
    <w:rsid w:val="00316FCC"/>
    <w:rsid w:val="003171DF"/>
    <w:rsid w:val="0031725F"/>
    <w:rsid w:val="00317261"/>
    <w:rsid w:val="00317329"/>
    <w:rsid w:val="00317379"/>
    <w:rsid w:val="0031772E"/>
    <w:rsid w:val="0031781D"/>
    <w:rsid w:val="0031793B"/>
    <w:rsid w:val="00317BC2"/>
    <w:rsid w:val="00317DE1"/>
    <w:rsid w:val="00317F5B"/>
    <w:rsid w:val="003200B2"/>
    <w:rsid w:val="003200F7"/>
    <w:rsid w:val="003201C7"/>
    <w:rsid w:val="0032027A"/>
    <w:rsid w:val="00320445"/>
    <w:rsid w:val="003204FF"/>
    <w:rsid w:val="00320577"/>
    <w:rsid w:val="003205CC"/>
    <w:rsid w:val="003205D6"/>
    <w:rsid w:val="003205F9"/>
    <w:rsid w:val="00320852"/>
    <w:rsid w:val="00320A0E"/>
    <w:rsid w:val="00320AF4"/>
    <w:rsid w:val="00320DA1"/>
    <w:rsid w:val="00320EE9"/>
    <w:rsid w:val="0032103D"/>
    <w:rsid w:val="0032128D"/>
    <w:rsid w:val="0032147A"/>
    <w:rsid w:val="003217C1"/>
    <w:rsid w:val="003218E3"/>
    <w:rsid w:val="003218F2"/>
    <w:rsid w:val="00321CF1"/>
    <w:rsid w:val="003226E3"/>
    <w:rsid w:val="003226EB"/>
    <w:rsid w:val="00322877"/>
    <w:rsid w:val="00322C4B"/>
    <w:rsid w:val="00322CEC"/>
    <w:rsid w:val="00322E71"/>
    <w:rsid w:val="00323011"/>
    <w:rsid w:val="003231BC"/>
    <w:rsid w:val="0032320D"/>
    <w:rsid w:val="00323376"/>
    <w:rsid w:val="0032338D"/>
    <w:rsid w:val="003233CB"/>
    <w:rsid w:val="0032374F"/>
    <w:rsid w:val="003237F4"/>
    <w:rsid w:val="003238DA"/>
    <w:rsid w:val="00323B88"/>
    <w:rsid w:val="00323CAC"/>
    <w:rsid w:val="003241B9"/>
    <w:rsid w:val="003243C0"/>
    <w:rsid w:val="003243FD"/>
    <w:rsid w:val="00324401"/>
    <w:rsid w:val="00324476"/>
    <w:rsid w:val="003245B2"/>
    <w:rsid w:val="003245F0"/>
    <w:rsid w:val="00324745"/>
    <w:rsid w:val="003248F3"/>
    <w:rsid w:val="0032494E"/>
    <w:rsid w:val="003249DC"/>
    <w:rsid w:val="00324A84"/>
    <w:rsid w:val="00324C0F"/>
    <w:rsid w:val="00324D71"/>
    <w:rsid w:val="00324DEE"/>
    <w:rsid w:val="00324EF9"/>
    <w:rsid w:val="00325046"/>
    <w:rsid w:val="00325260"/>
    <w:rsid w:val="003252B7"/>
    <w:rsid w:val="00325713"/>
    <w:rsid w:val="00325749"/>
    <w:rsid w:val="00325893"/>
    <w:rsid w:val="003258C0"/>
    <w:rsid w:val="00325BAF"/>
    <w:rsid w:val="00325C6C"/>
    <w:rsid w:val="00325E42"/>
    <w:rsid w:val="00325F87"/>
    <w:rsid w:val="003260C7"/>
    <w:rsid w:val="003262A7"/>
    <w:rsid w:val="003263C1"/>
    <w:rsid w:val="003264DA"/>
    <w:rsid w:val="003269A0"/>
    <w:rsid w:val="003269BE"/>
    <w:rsid w:val="00326CD4"/>
    <w:rsid w:val="00326D96"/>
    <w:rsid w:val="00326DB0"/>
    <w:rsid w:val="00326E86"/>
    <w:rsid w:val="00326FA4"/>
    <w:rsid w:val="0032713B"/>
    <w:rsid w:val="0032736F"/>
    <w:rsid w:val="003274F1"/>
    <w:rsid w:val="00327959"/>
    <w:rsid w:val="00327A25"/>
    <w:rsid w:val="00327A50"/>
    <w:rsid w:val="00327AC4"/>
    <w:rsid w:val="00327AFB"/>
    <w:rsid w:val="00327B97"/>
    <w:rsid w:val="00327CC6"/>
    <w:rsid w:val="00327CED"/>
    <w:rsid w:val="00327D78"/>
    <w:rsid w:val="00327F87"/>
    <w:rsid w:val="00330165"/>
    <w:rsid w:val="0033031A"/>
    <w:rsid w:val="00330551"/>
    <w:rsid w:val="003305AF"/>
    <w:rsid w:val="003305E2"/>
    <w:rsid w:val="003307CD"/>
    <w:rsid w:val="00330AA4"/>
    <w:rsid w:val="00330AAE"/>
    <w:rsid w:val="00330B68"/>
    <w:rsid w:val="00330CA2"/>
    <w:rsid w:val="00331336"/>
    <w:rsid w:val="00331520"/>
    <w:rsid w:val="00331892"/>
    <w:rsid w:val="00331A6A"/>
    <w:rsid w:val="00331E46"/>
    <w:rsid w:val="003323C2"/>
    <w:rsid w:val="003324FB"/>
    <w:rsid w:val="0033250C"/>
    <w:rsid w:val="00332532"/>
    <w:rsid w:val="0033262D"/>
    <w:rsid w:val="00332685"/>
    <w:rsid w:val="003328DA"/>
    <w:rsid w:val="003328FD"/>
    <w:rsid w:val="0033299D"/>
    <w:rsid w:val="00332A29"/>
    <w:rsid w:val="00332B38"/>
    <w:rsid w:val="00332B3A"/>
    <w:rsid w:val="00332B56"/>
    <w:rsid w:val="00332DA6"/>
    <w:rsid w:val="003330B9"/>
    <w:rsid w:val="0033339A"/>
    <w:rsid w:val="00333487"/>
    <w:rsid w:val="003337FB"/>
    <w:rsid w:val="00333A82"/>
    <w:rsid w:val="00334283"/>
    <w:rsid w:val="00334703"/>
    <w:rsid w:val="003347DC"/>
    <w:rsid w:val="00334C3E"/>
    <w:rsid w:val="00335033"/>
    <w:rsid w:val="003353BC"/>
    <w:rsid w:val="00335564"/>
    <w:rsid w:val="00335623"/>
    <w:rsid w:val="00335697"/>
    <w:rsid w:val="00335701"/>
    <w:rsid w:val="00335710"/>
    <w:rsid w:val="00335728"/>
    <w:rsid w:val="00335782"/>
    <w:rsid w:val="0033586F"/>
    <w:rsid w:val="00335B15"/>
    <w:rsid w:val="00335B36"/>
    <w:rsid w:val="00335D3E"/>
    <w:rsid w:val="00336228"/>
    <w:rsid w:val="003362FC"/>
    <w:rsid w:val="00336338"/>
    <w:rsid w:val="00336454"/>
    <w:rsid w:val="003366F8"/>
    <w:rsid w:val="00336825"/>
    <w:rsid w:val="00336D00"/>
    <w:rsid w:val="00336D86"/>
    <w:rsid w:val="00336E75"/>
    <w:rsid w:val="0033713F"/>
    <w:rsid w:val="003371B3"/>
    <w:rsid w:val="003371E3"/>
    <w:rsid w:val="0033747B"/>
    <w:rsid w:val="003374C0"/>
    <w:rsid w:val="003375BB"/>
    <w:rsid w:val="003379F9"/>
    <w:rsid w:val="00337A98"/>
    <w:rsid w:val="00337BE7"/>
    <w:rsid w:val="00337D0F"/>
    <w:rsid w:val="00337D12"/>
    <w:rsid w:val="00337D74"/>
    <w:rsid w:val="00337DCA"/>
    <w:rsid w:val="00337E81"/>
    <w:rsid w:val="00340050"/>
    <w:rsid w:val="003401B5"/>
    <w:rsid w:val="003403DE"/>
    <w:rsid w:val="0034045E"/>
    <w:rsid w:val="0034049F"/>
    <w:rsid w:val="0034050A"/>
    <w:rsid w:val="0034066C"/>
    <w:rsid w:val="00340943"/>
    <w:rsid w:val="00340A3A"/>
    <w:rsid w:val="00340A4C"/>
    <w:rsid w:val="00340AE8"/>
    <w:rsid w:val="00340F4E"/>
    <w:rsid w:val="0034106E"/>
    <w:rsid w:val="003413EB"/>
    <w:rsid w:val="0034141B"/>
    <w:rsid w:val="003414C4"/>
    <w:rsid w:val="003415DB"/>
    <w:rsid w:val="003419B0"/>
    <w:rsid w:val="003419F0"/>
    <w:rsid w:val="00341DF3"/>
    <w:rsid w:val="00342277"/>
    <w:rsid w:val="003424BD"/>
    <w:rsid w:val="003425C3"/>
    <w:rsid w:val="0034291A"/>
    <w:rsid w:val="00342986"/>
    <w:rsid w:val="00342A72"/>
    <w:rsid w:val="00342CAD"/>
    <w:rsid w:val="00342E4D"/>
    <w:rsid w:val="00342E63"/>
    <w:rsid w:val="00343250"/>
    <w:rsid w:val="0034335C"/>
    <w:rsid w:val="00343C31"/>
    <w:rsid w:val="00343C39"/>
    <w:rsid w:val="00343CC6"/>
    <w:rsid w:val="00344265"/>
    <w:rsid w:val="00344431"/>
    <w:rsid w:val="00344457"/>
    <w:rsid w:val="003444E5"/>
    <w:rsid w:val="003444FE"/>
    <w:rsid w:val="003446CC"/>
    <w:rsid w:val="00344BAC"/>
    <w:rsid w:val="00344BD2"/>
    <w:rsid w:val="00344D0A"/>
    <w:rsid w:val="00344DFE"/>
    <w:rsid w:val="00344ECF"/>
    <w:rsid w:val="00344F92"/>
    <w:rsid w:val="00344FCD"/>
    <w:rsid w:val="003450D7"/>
    <w:rsid w:val="003451FD"/>
    <w:rsid w:val="003453D2"/>
    <w:rsid w:val="003455AD"/>
    <w:rsid w:val="00345873"/>
    <w:rsid w:val="00345A64"/>
    <w:rsid w:val="00345A8C"/>
    <w:rsid w:val="00345BA3"/>
    <w:rsid w:val="00346102"/>
    <w:rsid w:val="00346373"/>
    <w:rsid w:val="0034649C"/>
    <w:rsid w:val="003464D7"/>
    <w:rsid w:val="00346606"/>
    <w:rsid w:val="00346718"/>
    <w:rsid w:val="003469B3"/>
    <w:rsid w:val="003469BA"/>
    <w:rsid w:val="00346B46"/>
    <w:rsid w:val="00346B8D"/>
    <w:rsid w:val="00346C79"/>
    <w:rsid w:val="00346CFE"/>
    <w:rsid w:val="00346D5C"/>
    <w:rsid w:val="00346E01"/>
    <w:rsid w:val="00346E04"/>
    <w:rsid w:val="003473AB"/>
    <w:rsid w:val="003474EA"/>
    <w:rsid w:val="00347B08"/>
    <w:rsid w:val="00347BF3"/>
    <w:rsid w:val="00347D50"/>
    <w:rsid w:val="00347DE5"/>
    <w:rsid w:val="00347DFA"/>
    <w:rsid w:val="00347E15"/>
    <w:rsid w:val="00347F2F"/>
    <w:rsid w:val="003500F1"/>
    <w:rsid w:val="00350388"/>
    <w:rsid w:val="00350444"/>
    <w:rsid w:val="00350502"/>
    <w:rsid w:val="003507A3"/>
    <w:rsid w:val="003508EA"/>
    <w:rsid w:val="00351103"/>
    <w:rsid w:val="00351338"/>
    <w:rsid w:val="0035140F"/>
    <w:rsid w:val="00351440"/>
    <w:rsid w:val="003514FE"/>
    <w:rsid w:val="003517FF"/>
    <w:rsid w:val="0035196E"/>
    <w:rsid w:val="00351A5C"/>
    <w:rsid w:val="00351A61"/>
    <w:rsid w:val="00351B13"/>
    <w:rsid w:val="00351C1A"/>
    <w:rsid w:val="00351C96"/>
    <w:rsid w:val="00351E44"/>
    <w:rsid w:val="00351F17"/>
    <w:rsid w:val="00351F1A"/>
    <w:rsid w:val="00352141"/>
    <w:rsid w:val="00352324"/>
    <w:rsid w:val="0035268D"/>
    <w:rsid w:val="003526C5"/>
    <w:rsid w:val="00352A0D"/>
    <w:rsid w:val="00352AEC"/>
    <w:rsid w:val="00352E05"/>
    <w:rsid w:val="00352F56"/>
    <w:rsid w:val="00352FA0"/>
    <w:rsid w:val="0035311B"/>
    <w:rsid w:val="003532BE"/>
    <w:rsid w:val="0035337C"/>
    <w:rsid w:val="003534D4"/>
    <w:rsid w:val="0035390A"/>
    <w:rsid w:val="00353A53"/>
    <w:rsid w:val="00353B0D"/>
    <w:rsid w:val="00353B9F"/>
    <w:rsid w:val="00353D7A"/>
    <w:rsid w:val="00353E1B"/>
    <w:rsid w:val="00353E98"/>
    <w:rsid w:val="00353F1C"/>
    <w:rsid w:val="00353F94"/>
    <w:rsid w:val="00353F95"/>
    <w:rsid w:val="00354225"/>
    <w:rsid w:val="0035430F"/>
    <w:rsid w:val="003543E7"/>
    <w:rsid w:val="003545B7"/>
    <w:rsid w:val="00354764"/>
    <w:rsid w:val="00354870"/>
    <w:rsid w:val="00354921"/>
    <w:rsid w:val="00354BB8"/>
    <w:rsid w:val="00354BC1"/>
    <w:rsid w:val="00354D73"/>
    <w:rsid w:val="00355009"/>
    <w:rsid w:val="00355303"/>
    <w:rsid w:val="00355374"/>
    <w:rsid w:val="0035539E"/>
    <w:rsid w:val="00355527"/>
    <w:rsid w:val="00355807"/>
    <w:rsid w:val="00355870"/>
    <w:rsid w:val="00355977"/>
    <w:rsid w:val="003559B4"/>
    <w:rsid w:val="003559C7"/>
    <w:rsid w:val="00355BF5"/>
    <w:rsid w:val="00355D0E"/>
    <w:rsid w:val="00355E5E"/>
    <w:rsid w:val="00355EB2"/>
    <w:rsid w:val="003562A4"/>
    <w:rsid w:val="00356850"/>
    <w:rsid w:val="003568D0"/>
    <w:rsid w:val="00356AA2"/>
    <w:rsid w:val="00356BC1"/>
    <w:rsid w:val="00356FA1"/>
    <w:rsid w:val="00357179"/>
    <w:rsid w:val="003572D5"/>
    <w:rsid w:val="00357321"/>
    <w:rsid w:val="0035745B"/>
    <w:rsid w:val="0035780E"/>
    <w:rsid w:val="00357936"/>
    <w:rsid w:val="00357D30"/>
    <w:rsid w:val="00357D8D"/>
    <w:rsid w:val="003600CB"/>
    <w:rsid w:val="00360147"/>
    <w:rsid w:val="003601B1"/>
    <w:rsid w:val="00360422"/>
    <w:rsid w:val="00360655"/>
    <w:rsid w:val="0036097A"/>
    <w:rsid w:val="003609C5"/>
    <w:rsid w:val="00360BB9"/>
    <w:rsid w:val="00360C5E"/>
    <w:rsid w:val="003612C5"/>
    <w:rsid w:val="0036175D"/>
    <w:rsid w:val="003618C6"/>
    <w:rsid w:val="003618DE"/>
    <w:rsid w:val="00362011"/>
    <w:rsid w:val="003620F4"/>
    <w:rsid w:val="00362130"/>
    <w:rsid w:val="00362311"/>
    <w:rsid w:val="00362353"/>
    <w:rsid w:val="003625C3"/>
    <w:rsid w:val="00362907"/>
    <w:rsid w:val="00362DAA"/>
    <w:rsid w:val="00362EA8"/>
    <w:rsid w:val="00362FE1"/>
    <w:rsid w:val="0036322B"/>
    <w:rsid w:val="0036358A"/>
    <w:rsid w:val="003638D6"/>
    <w:rsid w:val="00363929"/>
    <w:rsid w:val="00363AAD"/>
    <w:rsid w:val="00363B12"/>
    <w:rsid w:val="00363B3F"/>
    <w:rsid w:val="00363FE3"/>
    <w:rsid w:val="00364315"/>
    <w:rsid w:val="00364438"/>
    <w:rsid w:val="0036443C"/>
    <w:rsid w:val="0036448A"/>
    <w:rsid w:val="0036470C"/>
    <w:rsid w:val="00364744"/>
    <w:rsid w:val="00364829"/>
    <w:rsid w:val="003648D5"/>
    <w:rsid w:val="003648E3"/>
    <w:rsid w:val="003648ED"/>
    <w:rsid w:val="00364955"/>
    <w:rsid w:val="00364A68"/>
    <w:rsid w:val="00364BD2"/>
    <w:rsid w:val="00364D73"/>
    <w:rsid w:val="00364F6B"/>
    <w:rsid w:val="00365053"/>
    <w:rsid w:val="00365124"/>
    <w:rsid w:val="003655B3"/>
    <w:rsid w:val="00365814"/>
    <w:rsid w:val="0036593D"/>
    <w:rsid w:val="00365C2D"/>
    <w:rsid w:val="00365C8E"/>
    <w:rsid w:val="00365DD8"/>
    <w:rsid w:val="00365F2A"/>
    <w:rsid w:val="00365F48"/>
    <w:rsid w:val="00366117"/>
    <w:rsid w:val="0036626A"/>
    <w:rsid w:val="0036636A"/>
    <w:rsid w:val="003663AE"/>
    <w:rsid w:val="0036646C"/>
    <w:rsid w:val="003664C9"/>
    <w:rsid w:val="0036652F"/>
    <w:rsid w:val="0036653B"/>
    <w:rsid w:val="003665DC"/>
    <w:rsid w:val="00366659"/>
    <w:rsid w:val="003666BC"/>
    <w:rsid w:val="00366DBE"/>
    <w:rsid w:val="00366F32"/>
    <w:rsid w:val="003673DB"/>
    <w:rsid w:val="0036746F"/>
    <w:rsid w:val="003675E2"/>
    <w:rsid w:val="003678A3"/>
    <w:rsid w:val="00367C31"/>
    <w:rsid w:val="00367F2A"/>
    <w:rsid w:val="00367F90"/>
    <w:rsid w:val="00367FF4"/>
    <w:rsid w:val="00370320"/>
    <w:rsid w:val="00370323"/>
    <w:rsid w:val="0037042D"/>
    <w:rsid w:val="00370493"/>
    <w:rsid w:val="0037056E"/>
    <w:rsid w:val="0037061A"/>
    <w:rsid w:val="00370B08"/>
    <w:rsid w:val="00370C67"/>
    <w:rsid w:val="00370DE7"/>
    <w:rsid w:val="00370E8F"/>
    <w:rsid w:val="00370F47"/>
    <w:rsid w:val="00371024"/>
    <w:rsid w:val="00371136"/>
    <w:rsid w:val="00371208"/>
    <w:rsid w:val="00371416"/>
    <w:rsid w:val="003714D1"/>
    <w:rsid w:val="0037153D"/>
    <w:rsid w:val="00371740"/>
    <w:rsid w:val="0037182C"/>
    <w:rsid w:val="00371BFE"/>
    <w:rsid w:val="00371E10"/>
    <w:rsid w:val="00371FE2"/>
    <w:rsid w:val="00372383"/>
    <w:rsid w:val="003725C5"/>
    <w:rsid w:val="003727BF"/>
    <w:rsid w:val="00372838"/>
    <w:rsid w:val="00372858"/>
    <w:rsid w:val="0037294D"/>
    <w:rsid w:val="00372BFF"/>
    <w:rsid w:val="00372C7C"/>
    <w:rsid w:val="00372E36"/>
    <w:rsid w:val="00372F08"/>
    <w:rsid w:val="00373121"/>
    <w:rsid w:val="003732AF"/>
    <w:rsid w:val="003733A3"/>
    <w:rsid w:val="00373470"/>
    <w:rsid w:val="003734A8"/>
    <w:rsid w:val="00373754"/>
    <w:rsid w:val="003737A4"/>
    <w:rsid w:val="00373874"/>
    <w:rsid w:val="00373E59"/>
    <w:rsid w:val="00373EAD"/>
    <w:rsid w:val="00373FAC"/>
    <w:rsid w:val="00374143"/>
    <w:rsid w:val="003743EA"/>
    <w:rsid w:val="0037447C"/>
    <w:rsid w:val="00374697"/>
    <w:rsid w:val="0037476A"/>
    <w:rsid w:val="00374C0B"/>
    <w:rsid w:val="00374DA6"/>
    <w:rsid w:val="00374E3B"/>
    <w:rsid w:val="00374F67"/>
    <w:rsid w:val="00375077"/>
    <w:rsid w:val="00375201"/>
    <w:rsid w:val="00375295"/>
    <w:rsid w:val="00375519"/>
    <w:rsid w:val="0037559B"/>
    <w:rsid w:val="003756C0"/>
    <w:rsid w:val="0037575A"/>
    <w:rsid w:val="003759DB"/>
    <w:rsid w:val="00375D61"/>
    <w:rsid w:val="00375F0B"/>
    <w:rsid w:val="00375F8B"/>
    <w:rsid w:val="00376080"/>
    <w:rsid w:val="003760E1"/>
    <w:rsid w:val="003760F9"/>
    <w:rsid w:val="00376126"/>
    <w:rsid w:val="00376173"/>
    <w:rsid w:val="00376252"/>
    <w:rsid w:val="003763ED"/>
    <w:rsid w:val="0037644C"/>
    <w:rsid w:val="00376554"/>
    <w:rsid w:val="003765CF"/>
    <w:rsid w:val="0037666F"/>
    <w:rsid w:val="00376670"/>
    <w:rsid w:val="00376841"/>
    <w:rsid w:val="00376851"/>
    <w:rsid w:val="00376A64"/>
    <w:rsid w:val="00376A90"/>
    <w:rsid w:val="00376BC9"/>
    <w:rsid w:val="00376C02"/>
    <w:rsid w:val="00376C16"/>
    <w:rsid w:val="00376FEB"/>
    <w:rsid w:val="00376FF8"/>
    <w:rsid w:val="0037703A"/>
    <w:rsid w:val="00377090"/>
    <w:rsid w:val="003776F0"/>
    <w:rsid w:val="00377752"/>
    <w:rsid w:val="00377858"/>
    <w:rsid w:val="0037794B"/>
    <w:rsid w:val="0038018F"/>
    <w:rsid w:val="003802DB"/>
    <w:rsid w:val="0038065F"/>
    <w:rsid w:val="003807A3"/>
    <w:rsid w:val="0038083E"/>
    <w:rsid w:val="00380BBB"/>
    <w:rsid w:val="00380BE5"/>
    <w:rsid w:val="00380D39"/>
    <w:rsid w:val="00380D4F"/>
    <w:rsid w:val="00380D64"/>
    <w:rsid w:val="003810D1"/>
    <w:rsid w:val="0038111F"/>
    <w:rsid w:val="003812B4"/>
    <w:rsid w:val="00381321"/>
    <w:rsid w:val="00381D7D"/>
    <w:rsid w:val="00381E79"/>
    <w:rsid w:val="00381E97"/>
    <w:rsid w:val="00382249"/>
    <w:rsid w:val="00382AFD"/>
    <w:rsid w:val="003831CE"/>
    <w:rsid w:val="0038339E"/>
    <w:rsid w:val="00383582"/>
    <w:rsid w:val="003838F0"/>
    <w:rsid w:val="00383D1C"/>
    <w:rsid w:val="00383F2C"/>
    <w:rsid w:val="00384171"/>
    <w:rsid w:val="0038429E"/>
    <w:rsid w:val="00384312"/>
    <w:rsid w:val="00384539"/>
    <w:rsid w:val="00384636"/>
    <w:rsid w:val="00384732"/>
    <w:rsid w:val="003848C5"/>
    <w:rsid w:val="00384B91"/>
    <w:rsid w:val="00384B9B"/>
    <w:rsid w:val="003852A6"/>
    <w:rsid w:val="003852EC"/>
    <w:rsid w:val="003855A7"/>
    <w:rsid w:val="003857C2"/>
    <w:rsid w:val="00385CCE"/>
    <w:rsid w:val="00385D42"/>
    <w:rsid w:val="00385E5C"/>
    <w:rsid w:val="003860E3"/>
    <w:rsid w:val="003861A4"/>
    <w:rsid w:val="00386372"/>
    <w:rsid w:val="003864A8"/>
    <w:rsid w:val="00386543"/>
    <w:rsid w:val="00386567"/>
    <w:rsid w:val="003865D9"/>
    <w:rsid w:val="003866B0"/>
    <w:rsid w:val="00386774"/>
    <w:rsid w:val="0038689B"/>
    <w:rsid w:val="00386927"/>
    <w:rsid w:val="00386C61"/>
    <w:rsid w:val="00386D49"/>
    <w:rsid w:val="00386FD0"/>
    <w:rsid w:val="0038706B"/>
    <w:rsid w:val="00387126"/>
    <w:rsid w:val="003874A4"/>
    <w:rsid w:val="00387604"/>
    <w:rsid w:val="003876CA"/>
    <w:rsid w:val="00387B58"/>
    <w:rsid w:val="00387BA1"/>
    <w:rsid w:val="00387BF4"/>
    <w:rsid w:val="00387E24"/>
    <w:rsid w:val="0039003A"/>
    <w:rsid w:val="003901FF"/>
    <w:rsid w:val="0039029D"/>
    <w:rsid w:val="003903A7"/>
    <w:rsid w:val="003905D1"/>
    <w:rsid w:val="00390DA8"/>
    <w:rsid w:val="00390F0D"/>
    <w:rsid w:val="00390FE5"/>
    <w:rsid w:val="003912AB"/>
    <w:rsid w:val="00391336"/>
    <w:rsid w:val="0039138B"/>
    <w:rsid w:val="003914D5"/>
    <w:rsid w:val="0039174B"/>
    <w:rsid w:val="003919FD"/>
    <w:rsid w:val="00391BDC"/>
    <w:rsid w:val="00391C82"/>
    <w:rsid w:val="00391CF6"/>
    <w:rsid w:val="00391E7A"/>
    <w:rsid w:val="003925F7"/>
    <w:rsid w:val="00392C75"/>
    <w:rsid w:val="00392C98"/>
    <w:rsid w:val="00392D21"/>
    <w:rsid w:val="0039311C"/>
    <w:rsid w:val="00393171"/>
    <w:rsid w:val="003931B1"/>
    <w:rsid w:val="0039339D"/>
    <w:rsid w:val="003933CC"/>
    <w:rsid w:val="0039360B"/>
    <w:rsid w:val="00394159"/>
    <w:rsid w:val="00394207"/>
    <w:rsid w:val="0039457F"/>
    <w:rsid w:val="00394873"/>
    <w:rsid w:val="003948F5"/>
    <w:rsid w:val="003948FC"/>
    <w:rsid w:val="00394A5C"/>
    <w:rsid w:val="00394A62"/>
    <w:rsid w:val="00394ACE"/>
    <w:rsid w:val="00394D14"/>
    <w:rsid w:val="00394FF8"/>
    <w:rsid w:val="0039509C"/>
    <w:rsid w:val="003950A7"/>
    <w:rsid w:val="0039536C"/>
    <w:rsid w:val="00395B72"/>
    <w:rsid w:val="00395E26"/>
    <w:rsid w:val="00395FDC"/>
    <w:rsid w:val="00396210"/>
    <w:rsid w:val="00396E95"/>
    <w:rsid w:val="00397246"/>
    <w:rsid w:val="0039768A"/>
    <w:rsid w:val="003976AE"/>
    <w:rsid w:val="003977E1"/>
    <w:rsid w:val="00397801"/>
    <w:rsid w:val="00397803"/>
    <w:rsid w:val="00397D52"/>
    <w:rsid w:val="00397E2A"/>
    <w:rsid w:val="00397FA2"/>
    <w:rsid w:val="003A00EA"/>
    <w:rsid w:val="003A0313"/>
    <w:rsid w:val="003A0602"/>
    <w:rsid w:val="003A07A7"/>
    <w:rsid w:val="003A0AF9"/>
    <w:rsid w:val="003A0B4B"/>
    <w:rsid w:val="003A0C26"/>
    <w:rsid w:val="003A0E54"/>
    <w:rsid w:val="003A0FB3"/>
    <w:rsid w:val="003A11C6"/>
    <w:rsid w:val="003A1311"/>
    <w:rsid w:val="003A1A36"/>
    <w:rsid w:val="003A1B94"/>
    <w:rsid w:val="003A1C49"/>
    <w:rsid w:val="003A1CBC"/>
    <w:rsid w:val="003A2037"/>
    <w:rsid w:val="003A2141"/>
    <w:rsid w:val="003A239C"/>
    <w:rsid w:val="003A24DC"/>
    <w:rsid w:val="003A25E5"/>
    <w:rsid w:val="003A26FA"/>
    <w:rsid w:val="003A27BA"/>
    <w:rsid w:val="003A297D"/>
    <w:rsid w:val="003A2B1F"/>
    <w:rsid w:val="003A2B35"/>
    <w:rsid w:val="003A2B9E"/>
    <w:rsid w:val="003A2BB5"/>
    <w:rsid w:val="003A2BFD"/>
    <w:rsid w:val="003A2C7A"/>
    <w:rsid w:val="003A2D2D"/>
    <w:rsid w:val="003A2D75"/>
    <w:rsid w:val="003A2F0D"/>
    <w:rsid w:val="003A2F8B"/>
    <w:rsid w:val="003A3074"/>
    <w:rsid w:val="003A3141"/>
    <w:rsid w:val="003A3488"/>
    <w:rsid w:val="003A357F"/>
    <w:rsid w:val="003A35B3"/>
    <w:rsid w:val="003A37ED"/>
    <w:rsid w:val="003A3941"/>
    <w:rsid w:val="003A3A6E"/>
    <w:rsid w:val="003A3BF0"/>
    <w:rsid w:val="003A3D7B"/>
    <w:rsid w:val="003A3DE1"/>
    <w:rsid w:val="003A41AE"/>
    <w:rsid w:val="003A442B"/>
    <w:rsid w:val="003A466A"/>
    <w:rsid w:val="003A498D"/>
    <w:rsid w:val="003A4B15"/>
    <w:rsid w:val="003A4B39"/>
    <w:rsid w:val="003A4BD3"/>
    <w:rsid w:val="003A4C7E"/>
    <w:rsid w:val="003A4D07"/>
    <w:rsid w:val="003A4E6C"/>
    <w:rsid w:val="003A4F6D"/>
    <w:rsid w:val="003A52E1"/>
    <w:rsid w:val="003A537A"/>
    <w:rsid w:val="003A5455"/>
    <w:rsid w:val="003A5782"/>
    <w:rsid w:val="003A578B"/>
    <w:rsid w:val="003A5877"/>
    <w:rsid w:val="003A58B2"/>
    <w:rsid w:val="003A58F3"/>
    <w:rsid w:val="003A597B"/>
    <w:rsid w:val="003A5F7C"/>
    <w:rsid w:val="003A5FED"/>
    <w:rsid w:val="003A6400"/>
    <w:rsid w:val="003A67C3"/>
    <w:rsid w:val="003A68A2"/>
    <w:rsid w:val="003A68B0"/>
    <w:rsid w:val="003A6973"/>
    <w:rsid w:val="003A6A6B"/>
    <w:rsid w:val="003A6AA2"/>
    <w:rsid w:val="003A6BAB"/>
    <w:rsid w:val="003A6CBA"/>
    <w:rsid w:val="003A6F7F"/>
    <w:rsid w:val="003A7283"/>
    <w:rsid w:val="003A729B"/>
    <w:rsid w:val="003A7781"/>
    <w:rsid w:val="003A7799"/>
    <w:rsid w:val="003A77DF"/>
    <w:rsid w:val="003A7858"/>
    <w:rsid w:val="003A7F49"/>
    <w:rsid w:val="003B02B5"/>
    <w:rsid w:val="003B0448"/>
    <w:rsid w:val="003B0766"/>
    <w:rsid w:val="003B0865"/>
    <w:rsid w:val="003B0A14"/>
    <w:rsid w:val="003B0B7F"/>
    <w:rsid w:val="003B0C97"/>
    <w:rsid w:val="003B0E0D"/>
    <w:rsid w:val="003B0F37"/>
    <w:rsid w:val="003B1070"/>
    <w:rsid w:val="003B1370"/>
    <w:rsid w:val="003B1469"/>
    <w:rsid w:val="003B14AB"/>
    <w:rsid w:val="003B1755"/>
    <w:rsid w:val="003B17A7"/>
    <w:rsid w:val="003B182A"/>
    <w:rsid w:val="003B1AF2"/>
    <w:rsid w:val="003B1D38"/>
    <w:rsid w:val="003B2151"/>
    <w:rsid w:val="003B216E"/>
    <w:rsid w:val="003B21F4"/>
    <w:rsid w:val="003B2402"/>
    <w:rsid w:val="003B2474"/>
    <w:rsid w:val="003B25DD"/>
    <w:rsid w:val="003B26CB"/>
    <w:rsid w:val="003B27C8"/>
    <w:rsid w:val="003B287D"/>
    <w:rsid w:val="003B28F0"/>
    <w:rsid w:val="003B2A26"/>
    <w:rsid w:val="003B2A49"/>
    <w:rsid w:val="003B2C2B"/>
    <w:rsid w:val="003B2D16"/>
    <w:rsid w:val="003B2D85"/>
    <w:rsid w:val="003B2ED1"/>
    <w:rsid w:val="003B2F0D"/>
    <w:rsid w:val="003B312F"/>
    <w:rsid w:val="003B344D"/>
    <w:rsid w:val="003B34FE"/>
    <w:rsid w:val="003B390B"/>
    <w:rsid w:val="003B3ADF"/>
    <w:rsid w:val="003B3C21"/>
    <w:rsid w:val="003B3C51"/>
    <w:rsid w:val="003B3CD7"/>
    <w:rsid w:val="003B3D6D"/>
    <w:rsid w:val="003B3EBE"/>
    <w:rsid w:val="003B3EEB"/>
    <w:rsid w:val="003B42E8"/>
    <w:rsid w:val="003B43E4"/>
    <w:rsid w:val="003B43FD"/>
    <w:rsid w:val="003B446B"/>
    <w:rsid w:val="003B44DB"/>
    <w:rsid w:val="003B4802"/>
    <w:rsid w:val="003B497B"/>
    <w:rsid w:val="003B4C9A"/>
    <w:rsid w:val="003B4D8B"/>
    <w:rsid w:val="003B4FFD"/>
    <w:rsid w:val="003B5088"/>
    <w:rsid w:val="003B5172"/>
    <w:rsid w:val="003B5284"/>
    <w:rsid w:val="003B531C"/>
    <w:rsid w:val="003B5451"/>
    <w:rsid w:val="003B54FC"/>
    <w:rsid w:val="003B56F0"/>
    <w:rsid w:val="003B5744"/>
    <w:rsid w:val="003B5A58"/>
    <w:rsid w:val="003B5B6F"/>
    <w:rsid w:val="003B5BAB"/>
    <w:rsid w:val="003B5BF2"/>
    <w:rsid w:val="003B5D07"/>
    <w:rsid w:val="003B5D52"/>
    <w:rsid w:val="003B5F9A"/>
    <w:rsid w:val="003B6106"/>
    <w:rsid w:val="003B656F"/>
    <w:rsid w:val="003B6641"/>
    <w:rsid w:val="003B669A"/>
    <w:rsid w:val="003B692F"/>
    <w:rsid w:val="003B6A0B"/>
    <w:rsid w:val="003B6B56"/>
    <w:rsid w:val="003B6B6A"/>
    <w:rsid w:val="003B6CE2"/>
    <w:rsid w:val="003B6D38"/>
    <w:rsid w:val="003B6D94"/>
    <w:rsid w:val="003B70AD"/>
    <w:rsid w:val="003B712D"/>
    <w:rsid w:val="003B7281"/>
    <w:rsid w:val="003B72F1"/>
    <w:rsid w:val="003B7383"/>
    <w:rsid w:val="003B7431"/>
    <w:rsid w:val="003B749D"/>
    <w:rsid w:val="003B7535"/>
    <w:rsid w:val="003B7587"/>
    <w:rsid w:val="003B759A"/>
    <w:rsid w:val="003B7BC0"/>
    <w:rsid w:val="003B7BCB"/>
    <w:rsid w:val="003C020B"/>
    <w:rsid w:val="003C0689"/>
    <w:rsid w:val="003C0BD6"/>
    <w:rsid w:val="003C1069"/>
    <w:rsid w:val="003C1702"/>
    <w:rsid w:val="003C1719"/>
    <w:rsid w:val="003C1A01"/>
    <w:rsid w:val="003C1E77"/>
    <w:rsid w:val="003C1EE2"/>
    <w:rsid w:val="003C22E0"/>
    <w:rsid w:val="003C25C6"/>
    <w:rsid w:val="003C2914"/>
    <w:rsid w:val="003C2A42"/>
    <w:rsid w:val="003C2B5C"/>
    <w:rsid w:val="003C2C51"/>
    <w:rsid w:val="003C2DB1"/>
    <w:rsid w:val="003C2DF5"/>
    <w:rsid w:val="003C32ED"/>
    <w:rsid w:val="003C34D3"/>
    <w:rsid w:val="003C370D"/>
    <w:rsid w:val="003C37CD"/>
    <w:rsid w:val="003C3A72"/>
    <w:rsid w:val="003C3F60"/>
    <w:rsid w:val="003C43C6"/>
    <w:rsid w:val="003C445F"/>
    <w:rsid w:val="003C4662"/>
    <w:rsid w:val="003C4712"/>
    <w:rsid w:val="003C47F5"/>
    <w:rsid w:val="003C4B83"/>
    <w:rsid w:val="003C4BE3"/>
    <w:rsid w:val="003C4C0A"/>
    <w:rsid w:val="003C4CBF"/>
    <w:rsid w:val="003C5119"/>
    <w:rsid w:val="003C5195"/>
    <w:rsid w:val="003C5295"/>
    <w:rsid w:val="003C53F8"/>
    <w:rsid w:val="003C5546"/>
    <w:rsid w:val="003C56AA"/>
    <w:rsid w:val="003C5964"/>
    <w:rsid w:val="003C59A9"/>
    <w:rsid w:val="003C5DA2"/>
    <w:rsid w:val="003C5DA3"/>
    <w:rsid w:val="003C612F"/>
    <w:rsid w:val="003C6190"/>
    <w:rsid w:val="003C620E"/>
    <w:rsid w:val="003C6256"/>
    <w:rsid w:val="003C6367"/>
    <w:rsid w:val="003C63DC"/>
    <w:rsid w:val="003C65D2"/>
    <w:rsid w:val="003C6608"/>
    <w:rsid w:val="003C6707"/>
    <w:rsid w:val="003C6952"/>
    <w:rsid w:val="003C6B32"/>
    <w:rsid w:val="003C6C42"/>
    <w:rsid w:val="003C6C53"/>
    <w:rsid w:val="003C6F63"/>
    <w:rsid w:val="003C726C"/>
    <w:rsid w:val="003C7770"/>
    <w:rsid w:val="003C78A7"/>
    <w:rsid w:val="003C79A4"/>
    <w:rsid w:val="003C7C4A"/>
    <w:rsid w:val="003C7CD0"/>
    <w:rsid w:val="003C7D4E"/>
    <w:rsid w:val="003C7D9B"/>
    <w:rsid w:val="003D0082"/>
    <w:rsid w:val="003D031F"/>
    <w:rsid w:val="003D039D"/>
    <w:rsid w:val="003D0465"/>
    <w:rsid w:val="003D065A"/>
    <w:rsid w:val="003D0825"/>
    <w:rsid w:val="003D0942"/>
    <w:rsid w:val="003D0C9E"/>
    <w:rsid w:val="003D0CCD"/>
    <w:rsid w:val="003D0EE5"/>
    <w:rsid w:val="003D0F42"/>
    <w:rsid w:val="003D1413"/>
    <w:rsid w:val="003D1600"/>
    <w:rsid w:val="003D1A87"/>
    <w:rsid w:val="003D1AE6"/>
    <w:rsid w:val="003D1CD3"/>
    <w:rsid w:val="003D2039"/>
    <w:rsid w:val="003D20C5"/>
    <w:rsid w:val="003D279A"/>
    <w:rsid w:val="003D2A47"/>
    <w:rsid w:val="003D2CEC"/>
    <w:rsid w:val="003D2DE8"/>
    <w:rsid w:val="003D2F2B"/>
    <w:rsid w:val="003D30BD"/>
    <w:rsid w:val="003D3186"/>
    <w:rsid w:val="003D31B1"/>
    <w:rsid w:val="003D32F2"/>
    <w:rsid w:val="003D37E3"/>
    <w:rsid w:val="003D38BE"/>
    <w:rsid w:val="003D392C"/>
    <w:rsid w:val="003D3C68"/>
    <w:rsid w:val="003D4078"/>
    <w:rsid w:val="003D4158"/>
    <w:rsid w:val="003D4188"/>
    <w:rsid w:val="003D424D"/>
    <w:rsid w:val="003D447D"/>
    <w:rsid w:val="003D453E"/>
    <w:rsid w:val="003D45F2"/>
    <w:rsid w:val="003D48DE"/>
    <w:rsid w:val="003D49BC"/>
    <w:rsid w:val="003D49DD"/>
    <w:rsid w:val="003D4B20"/>
    <w:rsid w:val="003D4B3D"/>
    <w:rsid w:val="003D4DBE"/>
    <w:rsid w:val="003D4E21"/>
    <w:rsid w:val="003D4E2F"/>
    <w:rsid w:val="003D520A"/>
    <w:rsid w:val="003D535D"/>
    <w:rsid w:val="003D5364"/>
    <w:rsid w:val="003D54B7"/>
    <w:rsid w:val="003D5520"/>
    <w:rsid w:val="003D570A"/>
    <w:rsid w:val="003D59EC"/>
    <w:rsid w:val="003D5DBF"/>
    <w:rsid w:val="003D5ED0"/>
    <w:rsid w:val="003D5FE4"/>
    <w:rsid w:val="003D5FE7"/>
    <w:rsid w:val="003D6086"/>
    <w:rsid w:val="003D6407"/>
    <w:rsid w:val="003D6444"/>
    <w:rsid w:val="003D6473"/>
    <w:rsid w:val="003D68AC"/>
    <w:rsid w:val="003D69E7"/>
    <w:rsid w:val="003D6C63"/>
    <w:rsid w:val="003D6E49"/>
    <w:rsid w:val="003D715F"/>
    <w:rsid w:val="003D71EE"/>
    <w:rsid w:val="003D7602"/>
    <w:rsid w:val="003D770C"/>
    <w:rsid w:val="003D78E2"/>
    <w:rsid w:val="003D7943"/>
    <w:rsid w:val="003D7A1E"/>
    <w:rsid w:val="003D7A72"/>
    <w:rsid w:val="003D7AF0"/>
    <w:rsid w:val="003D7B1F"/>
    <w:rsid w:val="003E05EC"/>
    <w:rsid w:val="003E0989"/>
    <w:rsid w:val="003E0A32"/>
    <w:rsid w:val="003E0AD7"/>
    <w:rsid w:val="003E0FE1"/>
    <w:rsid w:val="003E0FE7"/>
    <w:rsid w:val="003E1084"/>
    <w:rsid w:val="003E1346"/>
    <w:rsid w:val="003E13D0"/>
    <w:rsid w:val="003E147C"/>
    <w:rsid w:val="003E14CD"/>
    <w:rsid w:val="003E166E"/>
    <w:rsid w:val="003E171D"/>
    <w:rsid w:val="003E173A"/>
    <w:rsid w:val="003E174B"/>
    <w:rsid w:val="003E17A6"/>
    <w:rsid w:val="003E1809"/>
    <w:rsid w:val="003E1995"/>
    <w:rsid w:val="003E1ACA"/>
    <w:rsid w:val="003E1BCE"/>
    <w:rsid w:val="003E1C55"/>
    <w:rsid w:val="003E1C6A"/>
    <w:rsid w:val="003E1C99"/>
    <w:rsid w:val="003E1F07"/>
    <w:rsid w:val="003E1F6F"/>
    <w:rsid w:val="003E1F75"/>
    <w:rsid w:val="003E21C8"/>
    <w:rsid w:val="003E2241"/>
    <w:rsid w:val="003E22F7"/>
    <w:rsid w:val="003E231F"/>
    <w:rsid w:val="003E2419"/>
    <w:rsid w:val="003E26A9"/>
    <w:rsid w:val="003E26C9"/>
    <w:rsid w:val="003E273F"/>
    <w:rsid w:val="003E27B7"/>
    <w:rsid w:val="003E2C82"/>
    <w:rsid w:val="003E2CF1"/>
    <w:rsid w:val="003E2DB1"/>
    <w:rsid w:val="003E3019"/>
    <w:rsid w:val="003E3143"/>
    <w:rsid w:val="003E322A"/>
    <w:rsid w:val="003E353E"/>
    <w:rsid w:val="003E3924"/>
    <w:rsid w:val="003E3AC1"/>
    <w:rsid w:val="003E3B87"/>
    <w:rsid w:val="003E3BEA"/>
    <w:rsid w:val="003E3D7A"/>
    <w:rsid w:val="003E40CC"/>
    <w:rsid w:val="003E42AA"/>
    <w:rsid w:val="003E4382"/>
    <w:rsid w:val="003E439C"/>
    <w:rsid w:val="003E4463"/>
    <w:rsid w:val="003E4723"/>
    <w:rsid w:val="003E4823"/>
    <w:rsid w:val="003E4836"/>
    <w:rsid w:val="003E4B85"/>
    <w:rsid w:val="003E4CEA"/>
    <w:rsid w:val="003E53AD"/>
    <w:rsid w:val="003E543A"/>
    <w:rsid w:val="003E5490"/>
    <w:rsid w:val="003E55E2"/>
    <w:rsid w:val="003E562E"/>
    <w:rsid w:val="003E5806"/>
    <w:rsid w:val="003E59D4"/>
    <w:rsid w:val="003E5A06"/>
    <w:rsid w:val="003E5B48"/>
    <w:rsid w:val="003E5C51"/>
    <w:rsid w:val="003E5C7E"/>
    <w:rsid w:val="003E5DBC"/>
    <w:rsid w:val="003E5E2A"/>
    <w:rsid w:val="003E5EA3"/>
    <w:rsid w:val="003E5EAD"/>
    <w:rsid w:val="003E5EB5"/>
    <w:rsid w:val="003E5ED8"/>
    <w:rsid w:val="003E61F4"/>
    <w:rsid w:val="003E62F1"/>
    <w:rsid w:val="003E655F"/>
    <w:rsid w:val="003E665B"/>
    <w:rsid w:val="003E688C"/>
    <w:rsid w:val="003E68A7"/>
    <w:rsid w:val="003E6B0E"/>
    <w:rsid w:val="003E6D29"/>
    <w:rsid w:val="003E6D8A"/>
    <w:rsid w:val="003E6E5B"/>
    <w:rsid w:val="003E6E6F"/>
    <w:rsid w:val="003E70D5"/>
    <w:rsid w:val="003E713C"/>
    <w:rsid w:val="003E725F"/>
    <w:rsid w:val="003E72A7"/>
    <w:rsid w:val="003E72D3"/>
    <w:rsid w:val="003E7303"/>
    <w:rsid w:val="003E759C"/>
    <w:rsid w:val="003E777E"/>
    <w:rsid w:val="003E77DC"/>
    <w:rsid w:val="003E7905"/>
    <w:rsid w:val="003E796B"/>
    <w:rsid w:val="003E7A14"/>
    <w:rsid w:val="003E7A61"/>
    <w:rsid w:val="003E7B9C"/>
    <w:rsid w:val="003E7C0D"/>
    <w:rsid w:val="003E7D07"/>
    <w:rsid w:val="003E7D41"/>
    <w:rsid w:val="003E7DE6"/>
    <w:rsid w:val="003E7EB5"/>
    <w:rsid w:val="003F05C5"/>
    <w:rsid w:val="003F097E"/>
    <w:rsid w:val="003F0D31"/>
    <w:rsid w:val="003F0D3A"/>
    <w:rsid w:val="003F0DAB"/>
    <w:rsid w:val="003F0FB7"/>
    <w:rsid w:val="003F104C"/>
    <w:rsid w:val="003F10BD"/>
    <w:rsid w:val="003F115A"/>
    <w:rsid w:val="003F1373"/>
    <w:rsid w:val="003F156A"/>
    <w:rsid w:val="003F15DA"/>
    <w:rsid w:val="003F1625"/>
    <w:rsid w:val="003F163E"/>
    <w:rsid w:val="003F168D"/>
    <w:rsid w:val="003F16F3"/>
    <w:rsid w:val="003F1712"/>
    <w:rsid w:val="003F18D6"/>
    <w:rsid w:val="003F1AB3"/>
    <w:rsid w:val="003F1ADF"/>
    <w:rsid w:val="003F1DCC"/>
    <w:rsid w:val="003F208C"/>
    <w:rsid w:val="003F20F2"/>
    <w:rsid w:val="003F21D5"/>
    <w:rsid w:val="003F22F6"/>
    <w:rsid w:val="003F2364"/>
    <w:rsid w:val="003F2428"/>
    <w:rsid w:val="003F259A"/>
    <w:rsid w:val="003F25AE"/>
    <w:rsid w:val="003F25C2"/>
    <w:rsid w:val="003F25E7"/>
    <w:rsid w:val="003F267B"/>
    <w:rsid w:val="003F26A4"/>
    <w:rsid w:val="003F2944"/>
    <w:rsid w:val="003F298C"/>
    <w:rsid w:val="003F2998"/>
    <w:rsid w:val="003F2A7A"/>
    <w:rsid w:val="003F3099"/>
    <w:rsid w:val="003F340A"/>
    <w:rsid w:val="003F3417"/>
    <w:rsid w:val="003F3A65"/>
    <w:rsid w:val="003F3B0C"/>
    <w:rsid w:val="003F3B3E"/>
    <w:rsid w:val="003F3BD0"/>
    <w:rsid w:val="003F3C21"/>
    <w:rsid w:val="003F3E3C"/>
    <w:rsid w:val="003F4043"/>
    <w:rsid w:val="003F44A8"/>
    <w:rsid w:val="003F456D"/>
    <w:rsid w:val="003F465D"/>
    <w:rsid w:val="003F48EA"/>
    <w:rsid w:val="003F49AB"/>
    <w:rsid w:val="003F4A45"/>
    <w:rsid w:val="003F4B54"/>
    <w:rsid w:val="003F4B62"/>
    <w:rsid w:val="003F4C35"/>
    <w:rsid w:val="003F4C40"/>
    <w:rsid w:val="003F4D8D"/>
    <w:rsid w:val="003F4EA5"/>
    <w:rsid w:val="003F4FE8"/>
    <w:rsid w:val="003F51F2"/>
    <w:rsid w:val="003F5507"/>
    <w:rsid w:val="003F5693"/>
    <w:rsid w:val="003F5BAA"/>
    <w:rsid w:val="003F5CA0"/>
    <w:rsid w:val="003F5E33"/>
    <w:rsid w:val="003F5EED"/>
    <w:rsid w:val="003F6156"/>
    <w:rsid w:val="003F6253"/>
    <w:rsid w:val="003F62CB"/>
    <w:rsid w:val="003F64C4"/>
    <w:rsid w:val="003F6635"/>
    <w:rsid w:val="003F66D0"/>
    <w:rsid w:val="003F698B"/>
    <w:rsid w:val="003F6A39"/>
    <w:rsid w:val="003F6A5C"/>
    <w:rsid w:val="003F6B78"/>
    <w:rsid w:val="003F6C75"/>
    <w:rsid w:val="003F6C97"/>
    <w:rsid w:val="003F6CC5"/>
    <w:rsid w:val="003F6F8B"/>
    <w:rsid w:val="003F6FA2"/>
    <w:rsid w:val="003F702A"/>
    <w:rsid w:val="003F7097"/>
    <w:rsid w:val="003F70B6"/>
    <w:rsid w:val="003F7356"/>
    <w:rsid w:val="003F756D"/>
    <w:rsid w:val="003F77EB"/>
    <w:rsid w:val="003F7872"/>
    <w:rsid w:val="003F7AAB"/>
    <w:rsid w:val="003F7ADB"/>
    <w:rsid w:val="003F7B97"/>
    <w:rsid w:val="003F7C2F"/>
    <w:rsid w:val="003F7D04"/>
    <w:rsid w:val="003F7EDF"/>
    <w:rsid w:val="003F7FE6"/>
    <w:rsid w:val="003F7FE7"/>
    <w:rsid w:val="0040036A"/>
    <w:rsid w:val="004009CE"/>
    <w:rsid w:val="00400A5E"/>
    <w:rsid w:val="00400A6F"/>
    <w:rsid w:val="00400B46"/>
    <w:rsid w:val="00400D3A"/>
    <w:rsid w:val="00400E04"/>
    <w:rsid w:val="00400F73"/>
    <w:rsid w:val="004010B9"/>
    <w:rsid w:val="00401326"/>
    <w:rsid w:val="004015A6"/>
    <w:rsid w:val="00401670"/>
    <w:rsid w:val="004016B1"/>
    <w:rsid w:val="00401996"/>
    <w:rsid w:val="00401DE8"/>
    <w:rsid w:val="00401EEB"/>
    <w:rsid w:val="00401FDB"/>
    <w:rsid w:val="004020B5"/>
    <w:rsid w:val="00402109"/>
    <w:rsid w:val="00402135"/>
    <w:rsid w:val="00402205"/>
    <w:rsid w:val="00402492"/>
    <w:rsid w:val="0040250D"/>
    <w:rsid w:val="004025C0"/>
    <w:rsid w:val="00402758"/>
    <w:rsid w:val="00402A7A"/>
    <w:rsid w:val="00402E15"/>
    <w:rsid w:val="00402E24"/>
    <w:rsid w:val="00402EE9"/>
    <w:rsid w:val="00403025"/>
    <w:rsid w:val="00403156"/>
    <w:rsid w:val="004031C7"/>
    <w:rsid w:val="00403227"/>
    <w:rsid w:val="00403228"/>
    <w:rsid w:val="00403540"/>
    <w:rsid w:val="004039AB"/>
    <w:rsid w:val="004039C6"/>
    <w:rsid w:val="004039C7"/>
    <w:rsid w:val="00403B1B"/>
    <w:rsid w:val="00403B27"/>
    <w:rsid w:val="00403E40"/>
    <w:rsid w:val="00404005"/>
    <w:rsid w:val="00404006"/>
    <w:rsid w:val="0040428E"/>
    <w:rsid w:val="004043AD"/>
    <w:rsid w:val="00404447"/>
    <w:rsid w:val="00404723"/>
    <w:rsid w:val="0040481A"/>
    <w:rsid w:val="0040487D"/>
    <w:rsid w:val="00404BA1"/>
    <w:rsid w:val="00404CAF"/>
    <w:rsid w:val="00404EE6"/>
    <w:rsid w:val="00404EF2"/>
    <w:rsid w:val="00404F1F"/>
    <w:rsid w:val="00404F4D"/>
    <w:rsid w:val="00404F6C"/>
    <w:rsid w:val="00405098"/>
    <w:rsid w:val="0040516E"/>
    <w:rsid w:val="00405179"/>
    <w:rsid w:val="004053DD"/>
    <w:rsid w:val="004056F1"/>
    <w:rsid w:val="0040575D"/>
    <w:rsid w:val="004057A0"/>
    <w:rsid w:val="004058B5"/>
    <w:rsid w:val="00405A79"/>
    <w:rsid w:val="00405B58"/>
    <w:rsid w:val="00405BA8"/>
    <w:rsid w:val="00405D36"/>
    <w:rsid w:val="00405F46"/>
    <w:rsid w:val="00405F91"/>
    <w:rsid w:val="004060F8"/>
    <w:rsid w:val="004061E2"/>
    <w:rsid w:val="00406276"/>
    <w:rsid w:val="004062B8"/>
    <w:rsid w:val="00406892"/>
    <w:rsid w:val="00406CE9"/>
    <w:rsid w:val="00406E38"/>
    <w:rsid w:val="00406E89"/>
    <w:rsid w:val="00406FE1"/>
    <w:rsid w:val="00407206"/>
    <w:rsid w:val="00407413"/>
    <w:rsid w:val="0040775E"/>
    <w:rsid w:val="00407976"/>
    <w:rsid w:val="00407A83"/>
    <w:rsid w:val="00407B89"/>
    <w:rsid w:val="00407BBE"/>
    <w:rsid w:val="00407CC7"/>
    <w:rsid w:val="00407E37"/>
    <w:rsid w:val="00407EE7"/>
    <w:rsid w:val="004104A9"/>
    <w:rsid w:val="00410554"/>
    <w:rsid w:val="00410615"/>
    <w:rsid w:val="00410AA0"/>
    <w:rsid w:val="00410CD7"/>
    <w:rsid w:val="00410CE1"/>
    <w:rsid w:val="00410DAB"/>
    <w:rsid w:val="00410DEB"/>
    <w:rsid w:val="00410E78"/>
    <w:rsid w:val="00410F4C"/>
    <w:rsid w:val="00410F4F"/>
    <w:rsid w:val="00410F69"/>
    <w:rsid w:val="004111EE"/>
    <w:rsid w:val="00411329"/>
    <w:rsid w:val="00411706"/>
    <w:rsid w:val="00411818"/>
    <w:rsid w:val="004119BF"/>
    <w:rsid w:val="00411AC1"/>
    <w:rsid w:val="00411C19"/>
    <w:rsid w:val="00411F3C"/>
    <w:rsid w:val="00411F83"/>
    <w:rsid w:val="0041234C"/>
    <w:rsid w:val="00412415"/>
    <w:rsid w:val="00412436"/>
    <w:rsid w:val="0041243A"/>
    <w:rsid w:val="00412537"/>
    <w:rsid w:val="00412669"/>
    <w:rsid w:val="00412898"/>
    <w:rsid w:val="0041324F"/>
    <w:rsid w:val="00413278"/>
    <w:rsid w:val="0041330A"/>
    <w:rsid w:val="0041340A"/>
    <w:rsid w:val="004135CB"/>
    <w:rsid w:val="00413641"/>
    <w:rsid w:val="00413837"/>
    <w:rsid w:val="00413A98"/>
    <w:rsid w:val="00413D0D"/>
    <w:rsid w:val="00413F9F"/>
    <w:rsid w:val="004142DD"/>
    <w:rsid w:val="004144C5"/>
    <w:rsid w:val="00414651"/>
    <w:rsid w:val="00414E15"/>
    <w:rsid w:val="00414E2C"/>
    <w:rsid w:val="00414FBE"/>
    <w:rsid w:val="0041557E"/>
    <w:rsid w:val="00415737"/>
    <w:rsid w:val="00415B81"/>
    <w:rsid w:val="00415CAC"/>
    <w:rsid w:val="00415FB4"/>
    <w:rsid w:val="004160BB"/>
    <w:rsid w:val="0041623B"/>
    <w:rsid w:val="00416468"/>
    <w:rsid w:val="0041668D"/>
    <w:rsid w:val="00416828"/>
    <w:rsid w:val="00416912"/>
    <w:rsid w:val="00416A3E"/>
    <w:rsid w:val="00416C2C"/>
    <w:rsid w:val="00416C8F"/>
    <w:rsid w:val="00416EA9"/>
    <w:rsid w:val="00416EC4"/>
    <w:rsid w:val="00417176"/>
    <w:rsid w:val="00417272"/>
    <w:rsid w:val="00417619"/>
    <w:rsid w:val="0041794E"/>
    <w:rsid w:val="00417A51"/>
    <w:rsid w:val="00417C8F"/>
    <w:rsid w:val="00417F8C"/>
    <w:rsid w:val="00420007"/>
    <w:rsid w:val="004201A2"/>
    <w:rsid w:val="004202AF"/>
    <w:rsid w:val="00420720"/>
    <w:rsid w:val="00420964"/>
    <w:rsid w:val="0042096A"/>
    <w:rsid w:val="004209D5"/>
    <w:rsid w:val="00420B9D"/>
    <w:rsid w:val="00420E24"/>
    <w:rsid w:val="00420F21"/>
    <w:rsid w:val="00420F98"/>
    <w:rsid w:val="00420FE5"/>
    <w:rsid w:val="004210DA"/>
    <w:rsid w:val="0042121F"/>
    <w:rsid w:val="00421293"/>
    <w:rsid w:val="00421356"/>
    <w:rsid w:val="00421415"/>
    <w:rsid w:val="004214E5"/>
    <w:rsid w:val="00421564"/>
    <w:rsid w:val="00421700"/>
    <w:rsid w:val="004218A9"/>
    <w:rsid w:val="004219D6"/>
    <w:rsid w:val="00421A80"/>
    <w:rsid w:val="00421AD9"/>
    <w:rsid w:val="00421B1E"/>
    <w:rsid w:val="00421C26"/>
    <w:rsid w:val="00421CC0"/>
    <w:rsid w:val="00422028"/>
    <w:rsid w:val="00422047"/>
    <w:rsid w:val="004221C1"/>
    <w:rsid w:val="004222AF"/>
    <w:rsid w:val="00422458"/>
    <w:rsid w:val="0042249B"/>
    <w:rsid w:val="004225CB"/>
    <w:rsid w:val="00422601"/>
    <w:rsid w:val="00422607"/>
    <w:rsid w:val="00422615"/>
    <w:rsid w:val="004226B5"/>
    <w:rsid w:val="00422738"/>
    <w:rsid w:val="00422986"/>
    <w:rsid w:val="00422AF7"/>
    <w:rsid w:val="00422C80"/>
    <w:rsid w:val="00422CFF"/>
    <w:rsid w:val="00423156"/>
    <w:rsid w:val="0042316B"/>
    <w:rsid w:val="004231A3"/>
    <w:rsid w:val="004231CB"/>
    <w:rsid w:val="004233A8"/>
    <w:rsid w:val="00423BD1"/>
    <w:rsid w:val="00423C29"/>
    <w:rsid w:val="00423D8D"/>
    <w:rsid w:val="00423EC8"/>
    <w:rsid w:val="00424061"/>
    <w:rsid w:val="00424467"/>
    <w:rsid w:val="00424490"/>
    <w:rsid w:val="004244AC"/>
    <w:rsid w:val="004244C5"/>
    <w:rsid w:val="004244F5"/>
    <w:rsid w:val="00424833"/>
    <w:rsid w:val="0042485E"/>
    <w:rsid w:val="00424986"/>
    <w:rsid w:val="00424A50"/>
    <w:rsid w:val="00424AFA"/>
    <w:rsid w:val="00424B76"/>
    <w:rsid w:val="00424D6B"/>
    <w:rsid w:val="00424ED2"/>
    <w:rsid w:val="004250C7"/>
    <w:rsid w:val="00425246"/>
    <w:rsid w:val="00425360"/>
    <w:rsid w:val="0042557A"/>
    <w:rsid w:val="0042559F"/>
    <w:rsid w:val="00425D88"/>
    <w:rsid w:val="00425EF7"/>
    <w:rsid w:val="0042606A"/>
    <w:rsid w:val="00426131"/>
    <w:rsid w:val="004261BD"/>
    <w:rsid w:val="0042626E"/>
    <w:rsid w:val="0042647A"/>
    <w:rsid w:val="00426517"/>
    <w:rsid w:val="004265D7"/>
    <w:rsid w:val="00426607"/>
    <w:rsid w:val="004267E6"/>
    <w:rsid w:val="004271F2"/>
    <w:rsid w:val="00427494"/>
    <w:rsid w:val="004276A9"/>
    <w:rsid w:val="004276E2"/>
    <w:rsid w:val="004276E9"/>
    <w:rsid w:val="0042775E"/>
    <w:rsid w:val="00427988"/>
    <w:rsid w:val="00427B6A"/>
    <w:rsid w:val="00427E47"/>
    <w:rsid w:val="00427EF1"/>
    <w:rsid w:val="00427F1E"/>
    <w:rsid w:val="00427FC2"/>
    <w:rsid w:val="0043003D"/>
    <w:rsid w:val="00430180"/>
    <w:rsid w:val="004302F9"/>
    <w:rsid w:val="00430449"/>
    <w:rsid w:val="0043044F"/>
    <w:rsid w:val="004304B1"/>
    <w:rsid w:val="004304EF"/>
    <w:rsid w:val="00430598"/>
    <w:rsid w:val="004306AB"/>
    <w:rsid w:val="00430B6C"/>
    <w:rsid w:val="00430DD1"/>
    <w:rsid w:val="00430F3E"/>
    <w:rsid w:val="00430F84"/>
    <w:rsid w:val="0043117E"/>
    <w:rsid w:val="00431216"/>
    <w:rsid w:val="0043139D"/>
    <w:rsid w:val="004315C2"/>
    <w:rsid w:val="0043184F"/>
    <w:rsid w:val="00431C18"/>
    <w:rsid w:val="00431C67"/>
    <w:rsid w:val="00431D92"/>
    <w:rsid w:val="00432135"/>
    <w:rsid w:val="004322B0"/>
    <w:rsid w:val="004329A7"/>
    <w:rsid w:val="004329A8"/>
    <w:rsid w:val="00432A83"/>
    <w:rsid w:val="00432E24"/>
    <w:rsid w:val="00432F3B"/>
    <w:rsid w:val="0043325C"/>
    <w:rsid w:val="00433279"/>
    <w:rsid w:val="00433308"/>
    <w:rsid w:val="00433426"/>
    <w:rsid w:val="004334EA"/>
    <w:rsid w:val="004337DD"/>
    <w:rsid w:val="004338F1"/>
    <w:rsid w:val="00433B44"/>
    <w:rsid w:val="00433C0B"/>
    <w:rsid w:val="00433D99"/>
    <w:rsid w:val="004341E2"/>
    <w:rsid w:val="0043423D"/>
    <w:rsid w:val="00434381"/>
    <w:rsid w:val="00434A67"/>
    <w:rsid w:val="00434C71"/>
    <w:rsid w:val="00435205"/>
    <w:rsid w:val="0043529B"/>
    <w:rsid w:val="004352E8"/>
    <w:rsid w:val="004354A7"/>
    <w:rsid w:val="004354AD"/>
    <w:rsid w:val="0043555D"/>
    <w:rsid w:val="00435816"/>
    <w:rsid w:val="00435823"/>
    <w:rsid w:val="004358CA"/>
    <w:rsid w:val="00435B20"/>
    <w:rsid w:val="00435B82"/>
    <w:rsid w:val="00435DAA"/>
    <w:rsid w:val="00435EAA"/>
    <w:rsid w:val="0043630B"/>
    <w:rsid w:val="00436358"/>
    <w:rsid w:val="00436366"/>
    <w:rsid w:val="004363AE"/>
    <w:rsid w:val="00436552"/>
    <w:rsid w:val="0043656E"/>
    <w:rsid w:val="0043695A"/>
    <w:rsid w:val="00436C61"/>
    <w:rsid w:val="00436C9F"/>
    <w:rsid w:val="00437053"/>
    <w:rsid w:val="0043713F"/>
    <w:rsid w:val="00437308"/>
    <w:rsid w:val="0043758D"/>
    <w:rsid w:val="004376A4"/>
    <w:rsid w:val="00437783"/>
    <w:rsid w:val="004377DC"/>
    <w:rsid w:val="00437929"/>
    <w:rsid w:val="0043796E"/>
    <w:rsid w:val="00437AFD"/>
    <w:rsid w:val="00437B49"/>
    <w:rsid w:val="00437BDD"/>
    <w:rsid w:val="0044010B"/>
    <w:rsid w:val="004401AC"/>
    <w:rsid w:val="0044033F"/>
    <w:rsid w:val="004404B6"/>
    <w:rsid w:val="004405EB"/>
    <w:rsid w:val="00440786"/>
    <w:rsid w:val="00440913"/>
    <w:rsid w:val="00440967"/>
    <w:rsid w:val="00440991"/>
    <w:rsid w:val="00440C9D"/>
    <w:rsid w:val="00441102"/>
    <w:rsid w:val="00441109"/>
    <w:rsid w:val="00441152"/>
    <w:rsid w:val="004411EB"/>
    <w:rsid w:val="00441298"/>
    <w:rsid w:val="004415C0"/>
    <w:rsid w:val="00441999"/>
    <w:rsid w:val="00441A3E"/>
    <w:rsid w:val="00441B3E"/>
    <w:rsid w:val="00441D14"/>
    <w:rsid w:val="00441DA7"/>
    <w:rsid w:val="00441EC8"/>
    <w:rsid w:val="00441EE4"/>
    <w:rsid w:val="00441F2E"/>
    <w:rsid w:val="004421BD"/>
    <w:rsid w:val="00442242"/>
    <w:rsid w:val="0044230B"/>
    <w:rsid w:val="004423D5"/>
    <w:rsid w:val="004423D7"/>
    <w:rsid w:val="004425FF"/>
    <w:rsid w:val="0044262E"/>
    <w:rsid w:val="00442C85"/>
    <w:rsid w:val="00443128"/>
    <w:rsid w:val="0044320C"/>
    <w:rsid w:val="004432EF"/>
    <w:rsid w:val="004432F2"/>
    <w:rsid w:val="00443363"/>
    <w:rsid w:val="00443411"/>
    <w:rsid w:val="004434D8"/>
    <w:rsid w:val="00443507"/>
    <w:rsid w:val="004436B2"/>
    <w:rsid w:val="004437AC"/>
    <w:rsid w:val="0044383B"/>
    <w:rsid w:val="00443842"/>
    <w:rsid w:val="004438E3"/>
    <w:rsid w:val="0044391D"/>
    <w:rsid w:val="00443980"/>
    <w:rsid w:val="00443B6A"/>
    <w:rsid w:val="00443E36"/>
    <w:rsid w:val="00443FF1"/>
    <w:rsid w:val="00444188"/>
    <w:rsid w:val="00444208"/>
    <w:rsid w:val="00444239"/>
    <w:rsid w:val="004442CB"/>
    <w:rsid w:val="004447E9"/>
    <w:rsid w:val="00444AD0"/>
    <w:rsid w:val="00444B77"/>
    <w:rsid w:val="00444CCA"/>
    <w:rsid w:val="00444F1D"/>
    <w:rsid w:val="0044517D"/>
    <w:rsid w:val="00445274"/>
    <w:rsid w:val="004453CD"/>
    <w:rsid w:val="004454A7"/>
    <w:rsid w:val="00445864"/>
    <w:rsid w:val="00445AA8"/>
    <w:rsid w:val="00445CEC"/>
    <w:rsid w:val="00445F4B"/>
    <w:rsid w:val="0044612C"/>
    <w:rsid w:val="004462CB"/>
    <w:rsid w:val="004464F4"/>
    <w:rsid w:val="00446696"/>
    <w:rsid w:val="004467DA"/>
    <w:rsid w:val="00446881"/>
    <w:rsid w:val="00446DC3"/>
    <w:rsid w:val="00447099"/>
    <w:rsid w:val="00447358"/>
    <w:rsid w:val="00447467"/>
    <w:rsid w:val="004474CC"/>
    <w:rsid w:val="00447635"/>
    <w:rsid w:val="00447A0F"/>
    <w:rsid w:val="00447B99"/>
    <w:rsid w:val="00447C7E"/>
    <w:rsid w:val="00447CDD"/>
    <w:rsid w:val="00447EFB"/>
    <w:rsid w:val="00447F20"/>
    <w:rsid w:val="004500BE"/>
    <w:rsid w:val="00450437"/>
    <w:rsid w:val="0045061C"/>
    <w:rsid w:val="004506FD"/>
    <w:rsid w:val="004507C1"/>
    <w:rsid w:val="0045087F"/>
    <w:rsid w:val="00450A2D"/>
    <w:rsid w:val="00450CDE"/>
    <w:rsid w:val="00450DAF"/>
    <w:rsid w:val="00450DBA"/>
    <w:rsid w:val="00450FFF"/>
    <w:rsid w:val="00451077"/>
    <w:rsid w:val="00451669"/>
    <w:rsid w:val="004518BF"/>
    <w:rsid w:val="00451A67"/>
    <w:rsid w:val="00451A81"/>
    <w:rsid w:val="00451E15"/>
    <w:rsid w:val="00452016"/>
    <w:rsid w:val="00452114"/>
    <w:rsid w:val="0045216B"/>
    <w:rsid w:val="00452426"/>
    <w:rsid w:val="00452550"/>
    <w:rsid w:val="0045258C"/>
    <w:rsid w:val="004527BA"/>
    <w:rsid w:val="00452829"/>
    <w:rsid w:val="00452996"/>
    <w:rsid w:val="00452ABA"/>
    <w:rsid w:val="00452FDD"/>
    <w:rsid w:val="00453201"/>
    <w:rsid w:val="00453218"/>
    <w:rsid w:val="0045357F"/>
    <w:rsid w:val="00453B6B"/>
    <w:rsid w:val="00453E2E"/>
    <w:rsid w:val="00454150"/>
    <w:rsid w:val="004541E5"/>
    <w:rsid w:val="00454414"/>
    <w:rsid w:val="00454451"/>
    <w:rsid w:val="004545C3"/>
    <w:rsid w:val="00454632"/>
    <w:rsid w:val="004547A5"/>
    <w:rsid w:val="0045484E"/>
    <w:rsid w:val="004549D6"/>
    <w:rsid w:val="00454A6A"/>
    <w:rsid w:val="00454BF9"/>
    <w:rsid w:val="004551A8"/>
    <w:rsid w:val="00455226"/>
    <w:rsid w:val="00455246"/>
    <w:rsid w:val="004553E8"/>
    <w:rsid w:val="00455808"/>
    <w:rsid w:val="00455B78"/>
    <w:rsid w:val="00455C07"/>
    <w:rsid w:val="00455C79"/>
    <w:rsid w:val="00455E63"/>
    <w:rsid w:val="00455F31"/>
    <w:rsid w:val="00455F32"/>
    <w:rsid w:val="00455FEF"/>
    <w:rsid w:val="004561F3"/>
    <w:rsid w:val="00456452"/>
    <w:rsid w:val="00456482"/>
    <w:rsid w:val="004564EA"/>
    <w:rsid w:val="0045656D"/>
    <w:rsid w:val="004566F3"/>
    <w:rsid w:val="004569DF"/>
    <w:rsid w:val="00456AEE"/>
    <w:rsid w:val="00456D9C"/>
    <w:rsid w:val="00456DAB"/>
    <w:rsid w:val="00456DE3"/>
    <w:rsid w:val="00456F10"/>
    <w:rsid w:val="0045714C"/>
    <w:rsid w:val="00457156"/>
    <w:rsid w:val="00457243"/>
    <w:rsid w:val="00457290"/>
    <w:rsid w:val="004572EF"/>
    <w:rsid w:val="00457408"/>
    <w:rsid w:val="0045740B"/>
    <w:rsid w:val="0045740E"/>
    <w:rsid w:val="0045756D"/>
    <w:rsid w:val="00457A41"/>
    <w:rsid w:val="00457A88"/>
    <w:rsid w:val="00457E15"/>
    <w:rsid w:val="00457EA8"/>
    <w:rsid w:val="00457ECB"/>
    <w:rsid w:val="00457EE6"/>
    <w:rsid w:val="00457F89"/>
    <w:rsid w:val="00457FB8"/>
    <w:rsid w:val="00460121"/>
    <w:rsid w:val="004603A8"/>
    <w:rsid w:val="004603F8"/>
    <w:rsid w:val="00460773"/>
    <w:rsid w:val="004609DB"/>
    <w:rsid w:val="004609E9"/>
    <w:rsid w:val="00460EDA"/>
    <w:rsid w:val="0046112A"/>
    <w:rsid w:val="00461242"/>
    <w:rsid w:val="00461488"/>
    <w:rsid w:val="004616B1"/>
    <w:rsid w:val="00461777"/>
    <w:rsid w:val="004617E1"/>
    <w:rsid w:val="0046199B"/>
    <w:rsid w:val="004619A8"/>
    <w:rsid w:val="00461AB7"/>
    <w:rsid w:val="00461B2C"/>
    <w:rsid w:val="00461B3A"/>
    <w:rsid w:val="00461EAB"/>
    <w:rsid w:val="00461EDB"/>
    <w:rsid w:val="004624B7"/>
    <w:rsid w:val="00462609"/>
    <w:rsid w:val="00462AFF"/>
    <w:rsid w:val="00462B2D"/>
    <w:rsid w:val="00462CF5"/>
    <w:rsid w:val="00462D63"/>
    <w:rsid w:val="00462FED"/>
    <w:rsid w:val="00463128"/>
    <w:rsid w:val="004632F3"/>
    <w:rsid w:val="004635A6"/>
    <w:rsid w:val="0046382A"/>
    <w:rsid w:val="00463858"/>
    <w:rsid w:val="004639E0"/>
    <w:rsid w:val="00463C07"/>
    <w:rsid w:val="00463DCC"/>
    <w:rsid w:val="00463E7E"/>
    <w:rsid w:val="0046400A"/>
    <w:rsid w:val="0046402D"/>
    <w:rsid w:val="0046417D"/>
    <w:rsid w:val="004644C6"/>
    <w:rsid w:val="00464556"/>
    <w:rsid w:val="004647F2"/>
    <w:rsid w:val="00464815"/>
    <w:rsid w:val="0046482B"/>
    <w:rsid w:val="00464CC8"/>
    <w:rsid w:val="00464D5D"/>
    <w:rsid w:val="00464FD2"/>
    <w:rsid w:val="00465124"/>
    <w:rsid w:val="0046523F"/>
    <w:rsid w:val="00465301"/>
    <w:rsid w:val="0046564B"/>
    <w:rsid w:val="00465920"/>
    <w:rsid w:val="00465A5C"/>
    <w:rsid w:val="00465BDA"/>
    <w:rsid w:val="00465C06"/>
    <w:rsid w:val="00465DFE"/>
    <w:rsid w:val="00465E5D"/>
    <w:rsid w:val="00465E84"/>
    <w:rsid w:val="00465EB8"/>
    <w:rsid w:val="0046602B"/>
    <w:rsid w:val="0046623E"/>
    <w:rsid w:val="00466559"/>
    <w:rsid w:val="004666F7"/>
    <w:rsid w:val="00466C4F"/>
    <w:rsid w:val="00466CFC"/>
    <w:rsid w:val="00466DB9"/>
    <w:rsid w:val="00466F18"/>
    <w:rsid w:val="00467025"/>
    <w:rsid w:val="004670E9"/>
    <w:rsid w:val="00467385"/>
    <w:rsid w:val="0046758D"/>
    <w:rsid w:val="0046759F"/>
    <w:rsid w:val="00467945"/>
    <w:rsid w:val="00467CF7"/>
    <w:rsid w:val="00470544"/>
    <w:rsid w:val="00470730"/>
    <w:rsid w:val="004707A4"/>
    <w:rsid w:val="00470D37"/>
    <w:rsid w:val="00470D53"/>
    <w:rsid w:val="00470DE5"/>
    <w:rsid w:val="00470E35"/>
    <w:rsid w:val="00470F21"/>
    <w:rsid w:val="00470FF3"/>
    <w:rsid w:val="00471059"/>
    <w:rsid w:val="004711C5"/>
    <w:rsid w:val="00471510"/>
    <w:rsid w:val="0047153D"/>
    <w:rsid w:val="004715AB"/>
    <w:rsid w:val="004717AF"/>
    <w:rsid w:val="0047186D"/>
    <w:rsid w:val="00471896"/>
    <w:rsid w:val="00471BD5"/>
    <w:rsid w:val="00471C4E"/>
    <w:rsid w:val="00471DF5"/>
    <w:rsid w:val="00471E9C"/>
    <w:rsid w:val="00471F83"/>
    <w:rsid w:val="0047216E"/>
    <w:rsid w:val="004721C5"/>
    <w:rsid w:val="00472582"/>
    <w:rsid w:val="004727AD"/>
    <w:rsid w:val="004727B5"/>
    <w:rsid w:val="004727EA"/>
    <w:rsid w:val="00472A3A"/>
    <w:rsid w:val="00472D13"/>
    <w:rsid w:val="00472DC4"/>
    <w:rsid w:val="00472E6D"/>
    <w:rsid w:val="00473080"/>
    <w:rsid w:val="0047315A"/>
    <w:rsid w:val="00473197"/>
    <w:rsid w:val="004731A6"/>
    <w:rsid w:val="0047324A"/>
    <w:rsid w:val="0047354B"/>
    <w:rsid w:val="00473600"/>
    <w:rsid w:val="00473749"/>
    <w:rsid w:val="004737B6"/>
    <w:rsid w:val="00473B60"/>
    <w:rsid w:val="00473E9E"/>
    <w:rsid w:val="00473EC1"/>
    <w:rsid w:val="00473FA1"/>
    <w:rsid w:val="00473FB4"/>
    <w:rsid w:val="0047444A"/>
    <w:rsid w:val="0047451C"/>
    <w:rsid w:val="004745B6"/>
    <w:rsid w:val="00474665"/>
    <w:rsid w:val="00474870"/>
    <w:rsid w:val="004748F4"/>
    <w:rsid w:val="004749E5"/>
    <w:rsid w:val="00474D47"/>
    <w:rsid w:val="00474E48"/>
    <w:rsid w:val="00474E9A"/>
    <w:rsid w:val="00474EB8"/>
    <w:rsid w:val="00474F04"/>
    <w:rsid w:val="00475004"/>
    <w:rsid w:val="0047547B"/>
    <w:rsid w:val="0047572B"/>
    <w:rsid w:val="00475929"/>
    <w:rsid w:val="00475B5E"/>
    <w:rsid w:val="00475DE6"/>
    <w:rsid w:val="00475DF1"/>
    <w:rsid w:val="00475F35"/>
    <w:rsid w:val="00475FB0"/>
    <w:rsid w:val="004760A7"/>
    <w:rsid w:val="00476185"/>
    <w:rsid w:val="00476233"/>
    <w:rsid w:val="0047627F"/>
    <w:rsid w:val="004762B7"/>
    <w:rsid w:val="004764BB"/>
    <w:rsid w:val="00476530"/>
    <w:rsid w:val="004769F6"/>
    <w:rsid w:val="00476B9A"/>
    <w:rsid w:val="00476C62"/>
    <w:rsid w:val="00476D59"/>
    <w:rsid w:val="00476D5C"/>
    <w:rsid w:val="00476EB6"/>
    <w:rsid w:val="0047702A"/>
    <w:rsid w:val="00477123"/>
    <w:rsid w:val="00477190"/>
    <w:rsid w:val="0047753C"/>
    <w:rsid w:val="004775F5"/>
    <w:rsid w:val="004777E0"/>
    <w:rsid w:val="0047790C"/>
    <w:rsid w:val="0047796C"/>
    <w:rsid w:val="00477D6D"/>
    <w:rsid w:val="00477F5F"/>
    <w:rsid w:val="00480203"/>
    <w:rsid w:val="0048039A"/>
    <w:rsid w:val="00480498"/>
    <w:rsid w:val="00480B82"/>
    <w:rsid w:val="004811B6"/>
    <w:rsid w:val="00481334"/>
    <w:rsid w:val="004813C4"/>
    <w:rsid w:val="0048143A"/>
    <w:rsid w:val="004816F8"/>
    <w:rsid w:val="0048175B"/>
    <w:rsid w:val="00481861"/>
    <w:rsid w:val="004818F6"/>
    <w:rsid w:val="00481F13"/>
    <w:rsid w:val="00482480"/>
    <w:rsid w:val="004825E3"/>
    <w:rsid w:val="00482831"/>
    <w:rsid w:val="00482CB5"/>
    <w:rsid w:val="00482D2E"/>
    <w:rsid w:val="00482EC5"/>
    <w:rsid w:val="00482F20"/>
    <w:rsid w:val="00483073"/>
    <w:rsid w:val="00483131"/>
    <w:rsid w:val="004831E9"/>
    <w:rsid w:val="00483326"/>
    <w:rsid w:val="00483467"/>
    <w:rsid w:val="004834AD"/>
    <w:rsid w:val="004834EF"/>
    <w:rsid w:val="00483534"/>
    <w:rsid w:val="00483719"/>
    <w:rsid w:val="004839FC"/>
    <w:rsid w:val="00483CAF"/>
    <w:rsid w:val="00483CB3"/>
    <w:rsid w:val="00483E44"/>
    <w:rsid w:val="004841D4"/>
    <w:rsid w:val="00484240"/>
    <w:rsid w:val="00484389"/>
    <w:rsid w:val="0048440D"/>
    <w:rsid w:val="004844C1"/>
    <w:rsid w:val="004845ED"/>
    <w:rsid w:val="00484616"/>
    <w:rsid w:val="00484644"/>
    <w:rsid w:val="00484BA8"/>
    <w:rsid w:val="00484DF8"/>
    <w:rsid w:val="00484E5C"/>
    <w:rsid w:val="00484E64"/>
    <w:rsid w:val="00484E81"/>
    <w:rsid w:val="00485075"/>
    <w:rsid w:val="00485135"/>
    <w:rsid w:val="004853F8"/>
    <w:rsid w:val="00485466"/>
    <w:rsid w:val="00485619"/>
    <w:rsid w:val="004857B6"/>
    <w:rsid w:val="004858CB"/>
    <w:rsid w:val="00485B3B"/>
    <w:rsid w:val="00485B49"/>
    <w:rsid w:val="00485C2D"/>
    <w:rsid w:val="00485E62"/>
    <w:rsid w:val="00485F51"/>
    <w:rsid w:val="00485FCD"/>
    <w:rsid w:val="00485FEB"/>
    <w:rsid w:val="0048608B"/>
    <w:rsid w:val="00486111"/>
    <w:rsid w:val="0048615A"/>
    <w:rsid w:val="004864A7"/>
    <w:rsid w:val="00486601"/>
    <w:rsid w:val="0048660F"/>
    <w:rsid w:val="00486BAC"/>
    <w:rsid w:val="00486C18"/>
    <w:rsid w:val="00486C3C"/>
    <w:rsid w:val="00486D06"/>
    <w:rsid w:val="00486F82"/>
    <w:rsid w:val="0048726D"/>
    <w:rsid w:val="00487397"/>
    <w:rsid w:val="00487BFA"/>
    <w:rsid w:val="00487D0B"/>
    <w:rsid w:val="00487F5E"/>
    <w:rsid w:val="00487FC0"/>
    <w:rsid w:val="00490050"/>
    <w:rsid w:val="0049006D"/>
    <w:rsid w:val="004900C6"/>
    <w:rsid w:val="004904F4"/>
    <w:rsid w:val="004905C0"/>
    <w:rsid w:val="0049087E"/>
    <w:rsid w:val="004908E4"/>
    <w:rsid w:val="004908FC"/>
    <w:rsid w:val="00490A58"/>
    <w:rsid w:val="00490B56"/>
    <w:rsid w:val="00490C3E"/>
    <w:rsid w:val="00490CB9"/>
    <w:rsid w:val="00490D9D"/>
    <w:rsid w:val="004910E0"/>
    <w:rsid w:val="0049128B"/>
    <w:rsid w:val="00491384"/>
    <w:rsid w:val="0049163D"/>
    <w:rsid w:val="0049173E"/>
    <w:rsid w:val="00491928"/>
    <w:rsid w:val="0049198E"/>
    <w:rsid w:val="00491B01"/>
    <w:rsid w:val="00491E04"/>
    <w:rsid w:val="00491E69"/>
    <w:rsid w:val="004920B1"/>
    <w:rsid w:val="00492150"/>
    <w:rsid w:val="00492164"/>
    <w:rsid w:val="00492249"/>
    <w:rsid w:val="004922E3"/>
    <w:rsid w:val="00492506"/>
    <w:rsid w:val="00492559"/>
    <w:rsid w:val="00492893"/>
    <w:rsid w:val="004928E6"/>
    <w:rsid w:val="00492B20"/>
    <w:rsid w:val="00492BEA"/>
    <w:rsid w:val="00492CE6"/>
    <w:rsid w:val="00492D5C"/>
    <w:rsid w:val="00493162"/>
    <w:rsid w:val="0049344E"/>
    <w:rsid w:val="0049361F"/>
    <w:rsid w:val="004939B9"/>
    <w:rsid w:val="00493C16"/>
    <w:rsid w:val="00493F5F"/>
    <w:rsid w:val="0049401A"/>
    <w:rsid w:val="00494058"/>
    <w:rsid w:val="004940B4"/>
    <w:rsid w:val="00494190"/>
    <w:rsid w:val="00494347"/>
    <w:rsid w:val="0049455D"/>
    <w:rsid w:val="004945AD"/>
    <w:rsid w:val="0049488E"/>
    <w:rsid w:val="004949C0"/>
    <w:rsid w:val="004949E9"/>
    <w:rsid w:val="004949F2"/>
    <w:rsid w:val="00494D76"/>
    <w:rsid w:val="00494D8B"/>
    <w:rsid w:val="00495211"/>
    <w:rsid w:val="004953E4"/>
    <w:rsid w:val="004955A4"/>
    <w:rsid w:val="00495720"/>
    <w:rsid w:val="004957D0"/>
    <w:rsid w:val="00495866"/>
    <w:rsid w:val="00495940"/>
    <w:rsid w:val="00495A38"/>
    <w:rsid w:val="00495A3E"/>
    <w:rsid w:val="00495F37"/>
    <w:rsid w:val="00496378"/>
    <w:rsid w:val="0049645C"/>
    <w:rsid w:val="0049648D"/>
    <w:rsid w:val="0049654A"/>
    <w:rsid w:val="004965FD"/>
    <w:rsid w:val="00496645"/>
    <w:rsid w:val="00496691"/>
    <w:rsid w:val="00496748"/>
    <w:rsid w:val="00496750"/>
    <w:rsid w:val="004969E9"/>
    <w:rsid w:val="00496AE0"/>
    <w:rsid w:val="00496B8D"/>
    <w:rsid w:val="00496BCC"/>
    <w:rsid w:val="00496CB0"/>
    <w:rsid w:val="00496D4E"/>
    <w:rsid w:val="0049700F"/>
    <w:rsid w:val="00497382"/>
    <w:rsid w:val="00497416"/>
    <w:rsid w:val="00497678"/>
    <w:rsid w:val="004977B2"/>
    <w:rsid w:val="00497931"/>
    <w:rsid w:val="00497A91"/>
    <w:rsid w:val="00497E2E"/>
    <w:rsid w:val="004A0036"/>
    <w:rsid w:val="004A00BC"/>
    <w:rsid w:val="004A02CB"/>
    <w:rsid w:val="004A02D1"/>
    <w:rsid w:val="004A0423"/>
    <w:rsid w:val="004A0497"/>
    <w:rsid w:val="004A0704"/>
    <w:rsid w:val="004A0757"/>
    <w:rsid w:val="004A0941"/>
    <w:rsid w:val="004A098B"/>
    <w:rsid w:val="004A0A7F"/>
    <w:rsid w:val="004A0B92"/>
    <w:rsid w:val="004A0C70"/>
    <w:rsid w:val="004A0EC5"/>
    <w:rsid w:val="004A0FBF"/>
    <w:rsid w:val="004A11BD"/>
    <w:rsid w:val="004A12BE"/>
    <w:rsid w:val="004A133C"/>
    <w:rsid w:val="004A15C2"/>
    <w:rsid w:val="004A182E"/>
    <w:rsid w:val="004A1A81"/>
    <w:rsid w:val="004A1C8B"/>
    <w:rsid w:val="004A1D3A"/>
    <w:rsid w:val="004A1DCA"/>
    <w:rsid w:val="004A2092"/>
    <w:rsid w:val="004A232F"/>
    <w:rsid w:val="004A25D6"/>
    <w:rsid w:val="004A29D4"/>
    <w:rsid w:val="004A2C9C"/>
    <w:rsid w:val="004A2CB3"/>
    <w:rsid w:val="004A2EBD"/>
    <w:rsid w:val="004A32E2"/>
    <w:rsid w:val="004A3355"/>
    <w:rsid w:val="004A3381"/>
    <w:rsid w:val="004A33D4"/>
    <w:rsid w:val="004A3554"/>
    <w:rsid w:val="004A3555"/>
    <w:rsid w:val="004A380F"/>
    <w:rsid w:val="004A3A3C"/>
    <w:rsid w:val="004A3AD4"/>
    <w:rsid w:val="004A3D77"/>
    <w:rsid w:val="004A3DD9"/>
    <w:rsid w:val="004A40AD"/>
    <w:rsid w:val="004A41FB"/>
    <w:rsid w:val="004A428E"/>
    <w:rsid w:val="004A4322"/>
    <w:rsid w:val="004A4349"/>
    <w:rsid w:val="004A4546"/>
    <w:rsid w:val="004A45ED"/>
    <w:rsid w:val="004A47BD"/>
    <w:rsid w:val="004A4A0D"/>
    <w:rsid w:val="004A4AF5"/>
    <w:rsid w:val="004A4B0B"/>
    <w:rsid w:val="004A4EFA"/>
    <w:rsid w:val="004A4FA3"/>
    <w:rsid w:val="004A52B5"/>
    <w:rsid w:val="004A551E"/>
    <w:rsid w:val="004A5B0C"/>
    <w:rsid w:val="004A5C1A"/>
    <w:rsid w:val="004A5DDD"/>
    <w:rsid w:val="004A5DEE"/>
    <w:rsid w:val="004A6208"/>
    <w:rsid w:val="004A678D"/>
    <w:rsid w:val="004A68FB"/>
    <w:rsid w:val="004A69D8"/>
    <w:rsid w:val="004A6A67"/>
    <w:rsid w:val="004A6A7F"/>
    <w:rsid w:val="004A6B57"/>
    <w:rsid w:val="004A6B85"/>
    <w:rsid w:val="004A6CAE"/>
    <w:rsid w:val="004A6CCE"/>
    <w:rsid w:val="004A6E4E"/>
    <w:rsid w:val="004A6FAF"/>
    <w:rsid w:val="004A712C"/>
    <w:rsid w:val="004A7210"/>
    <w:rsid w:val="004A739E"/>
    <w:rsid w:val="004A74C5"/>
    <w:rsid w:val="004A76B0"/>
    <w:rsid w:val="004A7877"/>
    <w:rsid w:val="004A79C1"/>
    <w:rsid w:val="004A7A06"/>
    <w:rsid w:val="004A7A25"/>
    <w:rsid w:val="004A7B42"/>
    <w:rsid w:val="004A7EA3"/>
    <w:rsid w:val="004B00F4"/>
    <w:rsid w:val="004B0357"/>
    <w:rsid w:val="004B0787"/>
    <w:rsid w:val="004B07C6"/>
    <w:rsid w:val="004B0F6D"/>
    <w:rsid w:val="004B0FB4"/>
    <w:rsid w:val="004B10B2"/>
    <w:rsid w:val="004B123D"/>
    <w:rsid w:val="004B1243"/>
    <w:rsid w:val="004B135E"/>
    <w:rsid w:val="004B1417"/>
    <w:rsid w:val="004B1574"/>
    <w:rsid w:val="004B1817"/>
    <w:rsid w:val="004B1A54"/>
    <w:rsid w:val="004B1AEA"/>
    <w:rsid w:val="004B1C01"/>
    <w:rsid w:val="004B1D5C"/>
    <w:rsid w:val="004B25F3"/>
    <w:rsid w:val="004B275B"/>
    <w:rsid w:val="004B2825"/>
    <w:rsid w:val="004B29C7"/>
    <w:rsid w:val="004B2A4D"/>
    <w:rsid w:val="004B2C05"/>
    <w:rsid w:val="004B30AA"/>
    <w:rsid w:val="004B314B"/>
    <w:rsid w:val="004B3150"/>
    <w:rsid w:val="004B330A"/>
    <w:rsid w:val="004B409B"/>
    <w:rsid w:val="004B40E9"/>
    <w:rsid w:val="004B4144"/>
    <w:rsid w:val="004B4188"/>
    <w:rsid w:val="004B4354"/>
    <w:rsid w:val="004B4377"/>
    <w:rsid w:val="004B47FD"/>
    <w:rsid w:val="004B48DB"/>
    <w:rsid w:val="004B4950"/>
    <w:rsid w:val="004B4D18"/>
    <w:rsid w:val="004B4DB1"/>
    <w:rsid w:val="004B4E5C"/>
    <w:rsid w:val="004B516B"/>
    <w:rsid w:val="004B544E"/>
    <w:rsid w:val="004B5496"/>
    <w:rsid w:val="004B561C"/>
    <w:rsid w:val="004B56B6"/>
    <w:rsid w:val="004B573C"/>
    <w:rsid w:val="004B5812"/>
    <w:rsid w:val="004B58B5"/>
    <w:rsid w:val="004B59A7"/>
    <w:rsid w:val="004B5BB7"/>
    <w:rsid w:val="004B5C79"/>
    <w:rsid w:val="004B5D6A"/>
    <w:rsid w:val="004B61AD"/>
    <w:rsid w:val="004B646C"/>
    <w:rsid w:val="004B6577"/>
    <w:rsid w:val="004B6CEF"/>
    <w:rsid w:val="004B6D3A"/>
    <w:rsid w:val="004B6E3B"/>
    <w:rsid w:val="004B6E53"/>
    <w:rsid w:val="004B7086"/>
    <w:rsid w:val="004B70C9"/>
    <w:rsid w:val="004B71D4"/>
    <w:rsid w:val="004B7212"/>
    <w:rsid w:val="004B75AD"/>
    <w:rsid w:val="004B7623"/>
    <w:rsid w:val="004B766D"/>
    <w:rsid w:val="004B7C02"/>
    <w:rsid w:val="004B7C31"/>
    <w:rsid w:val="004B7DBC"/>
    <w:rsid w:val="004C0099"/>
    <w:rsid w:val="004C036E"/>
    <w:rsid w:val="004C0422"/>
    <w:rsid w:val="004C0477"/>
    <w:rsid w:val="004C0680"/>
    <w:rsid w:val="004C0751"/>
    <w:rsid w:val="004C08BB"/>
    <w:rsid w:val="004C0BA8"/>
    <w:rsid w:val="004C0D8F"/>
    <w:rsid w:val="004C0DC6"/>
    <w:rsid w:val="004C0E20"/>
    <w:rsid w:val="004C0F10"/>
    <w:rsid w:val="004C1000"/>
    <w:rsid w:val="004C13C6"/>
    <w:rsid w:val="004C14CD"/>
    <w:rsid w:val="004C14D8"/>
    <w:rsid w:val="004C14FB"/>
    <w:rsid w:val="004C1501"/>
    <w:rsid w:val="004C17A2"/>
    <w:rsid w:val="004C19A6"/>
    <w:rsid w:val="004C19AE"/>
    <w:rsid w:val="004C1B2F"/>
    <w:rsid w:val="004C2019"/>
    <w:rsid w:val="004C205C"/>
    <w:rsid w:val="004C206F"/>
    <w:rsid w:val="004C20FD"/>
    <w:rsid w:val="004C2151"/>
    <w:rsid w:val="004C21C0"/>
    <w:rsid w:val="004C21FD"/>
    <w:rsid w:val="004C276B"/>
    <w:rsid w:val="004C29F3"/>
    <w:rsid w:val="004C2B2A"/>
    <w:rsid w:val="004C2C2A"/>
    <w:rsid w:val="004C2E2A"/>
    <w:rsid w:val="004C3267"/>
    <w:rsid w:val="004C33AE"/>
    <w:rsid w:val="004C367D"/>
    <w:rsid w:val="004C377F"/>
    <w:rsid w:val="004C3A54"/>
    <w:rsid w:val="004C3C31"/>
    <w:rsid w:val="004C3CE6"/>
    <w:rsid w:val="004C3F7C"/>
    <w:rsid w:val="004C42B2"/>
    <w:rsid w:val="004C44BC"/>
    <w:rsid w:val="004C45B3"/>
    <w:rsid w:val="004C4664"/>
    <w:rsid w:val="004C47AE"/>
    <w:rsid w:val="004C4A79"/>
    <w:rsid w:val="004C4AF5"/>
    <w:rsid w:val="004C4BF7"/>
    <w:rsid w:val="004C4CA1"/>
    <w:rsid w:val="004C4CC6"/>
    <w:rsid w:val="004C5204"/>
    <w:rsid w:val="004C52B0"/>
    <w:rsid w:val="004C535B"/>
    <w:rsid w:val="004C5810"/>
    <w:rsid w:val="004C595B"/>
    <w:rsid w:val="004C5981"/>
    <w:rsid w:val="004C5A2F"/>
    <w:rsid w:val="004C5CB2"/>
    <w:rsid w:val="004C5EDB"/>
    <w:rsid w:val="004C5F31"/>
    <w:rsid w:val="004C60B1"/>
    <w:rsid w:val="004C60F9"/>
    <w:rsid w:val="004C61F9"/>
    <w:rsid w:val="004C6207"/>
    <w:rsid w:val="004C62A4"/>
    <w:rsid w:val="004C637C"/>
    <w:rsid w:val="004C639E"/>
    <w:rsid w:val="004C63C9"/>
    <w:rsid w:val="004C674B"/>
    <w:rsid w:val="004C682B"/>
    <w:rsid w:val="004C69F2"/>
    <w:rsid w:val="004C6ABC"/>
    <w:rsid w:val="004C6C3B"/>
    <w:rsid w:val="004C6ECA"/>
    <w:rsid w:val="004C6F89"/>
    <w:rsid w:val="004C712D"/>
    <w:rsid w:val="004C7160"/>
    <w:rsid w:val="004C7255"/>
    <w:rsid w:val="004C7389"/>
    <w:rsid w:val="004C7604"/>
    <w:rsid w:val="004C7618"/>
    <w:rsid w:val="004C7660"/>
    <w:rsid w:val="004C76B9"/>
    <w:rsid w:val="004C7BF2"/>
    <w:rsid w:val="004C7CD1"/>
    <w:rsid w:val="004D00F0"/>
    <w:rsid w:val="004D0303"/>
    <w:rsid w:val="004D03F3"/>
    <w:rsid w:val="004D057D"/>
    <w:rsid w:val="004D06C6"/>
    <w:rsid w:val="004D06E1"/>
    <w:rsid w:val="004D08CA"/>
    <w:rsid w:val="004D099D"/>
    <w:rsid w:val="004D0B18"/>
    <w:rsid w:val="004D0B19"/>
    <w:rsid w:val="004D0BF7"/>
    <w:rsid w:val="004D0CE9"/>
    <w:rsid w:val="004D1251"/>
    <w:rsid w:val="004D132B"/>
    <w:rsid w:val="004D1335"/>
    <w:rsid w:val="004D1442"/>
    <w:rsid w:val="004D144A"/>
    <w:rsid w:val="004D17E3"/>
    <w:rsid w:val="004D1D58"/>
    <w:rsid w:val="004D210E"/>
    <w:rsid w:val="004D220B"/>
    <w:rsid w:val="004D2304"/>
    <w:rsid w:val="004D2349"/>
    <w:rsid w:val="004D2372"/>
    <w:rsid w:val="004D255D"/>
    <w:rsid w:val="004D2613"/>
    <w:rsid w:val="004D268D"/>
    <w:rsid w:val="004D2738"/>
    <w:rsid w:val="004D2880"/>
    <w:rsid w:val="004D2D60"/>
    <w:rsid w:val="004D2F1D"/>
    <w:rsid w:val="004D305C"/>
    <w:rsid w:val="004D340F"/>
    <w:rsid w:val="004D3455"/>
    <w:rsid w:val="004D35E8"/>
    <w:rsid w:val="004D37F8"/>
    <w:rsid w:val="004D3BD3"/>
    <w:rsid w:val="004D3FA9"/>
    <w:rsid w:val="004D3FDC"/>
    <w:rsid w:val="004D40F2"/>
    <w:rsid w:val="004D43DB"/>
    <w:rsid w:val="004D4428"/>
    <w:rsid w:val="004D457B"/>
    <w:rsid w:val="004D46FD"/>
    <w:rsid w:val="004D495F"/>
    <w:rsid w:val="004D4AEA"/>
    <w:rsid w:val="004D5071"/>
    <w:rsid w:val="004D528E"/>
    <w:rsid w:val="004D534E"/>
    <w:rsid w:val="004D54A8"/>
    <w:rsid w:val="004D562C"/>
    <w:rsid w:val="004D5638"/>
    <w:rsid w:val="004D5671"/>
    <w:rsid w:val="004D5BA4"/>
    <w:rsid w:val="004D5D2C"/>
    <w:rsid w:val="004D5E08"/>
    <w:rsid w:val="004D6480"/>
    <w:rsid w:val="004D64D5"/>
    <w:rsid w:val="004D6524"/>
    <w:rsid w:val="004D6543"/>
    <w:rsid w:val="004D6728"/>
    <w:rsid w:val="004D6915"/>
    <w:rsid w:val="004D6BB0"/>
    <w:rsid w:val="004D6BD6"/>
    <w:rsid w:val="004D6C8C"/>
    <w:rsid w:val="004D6D31"/>
    <w:rsid w:val="004D6FE6"/>
    <w:rsid w:val="004D731F"/>
    <w:rsid w:val="004D7447"/>
    <w:rsid w:val="004D7595"/>
    <w:rsid w:val="004D7602"/>
    <w:rsid w:val="004D7611"/>
    <w:rsid w:val="004D7679"/>
    <w:rsid w:val="004D7737"/>
    <w:rsid w:val="004D7A21"/>
    <w:rsid w:val="004D7A28"/>
    <w:rsid w:val="004D7A78"/>
    <w:rsid w:val="004D7AA5"/>
    <w:rsid w:val="004D7B0E"/>
    <w:rsid w:val="004D7B23"/>
    <w:rsid w:val="004D7B2D"/>
    <w:rsid w:val="004D7C51"/>
    <w:rsid w:val="004E018F"/>
    <w:rsid w:val="004E02F8"/>
    <w:rsid w:val="004E0342"/>
    <w:rsid w:val="004E0393"/>
    <w:rsid w:val="004E047A"/>
    <w:rsid w:val="004E05AD"/>
    <w:rsid w:val="004E0741"/>
    <w:rsid w:val="004E0791"/>
    <w:rsid w:val="004E07AD"/>
    <w:rsid w:val="004E0907"/>
    <w:rsid w:val="004E095A"/>
    <w:rsid w:val="004E09B3"/>
    <w:rsid w:val="004E09DB"/>
    <w:rsid w:val="004E0D8C"/>
    <w:rsid w:val="004E0E3F"/>
    <w:rsid w:val="004E107B"/>
    <w:rsid w:val="004E10B9"/>
    <w:rsid w:val="004E11B5"/>
    <w:rsid w:val="004E12A7"/>
    <w:rsid w:val="004E12CA"/>
    <w:rsid w:val="004E1401"/>
    <w:rsid w:val="004E1420"/>
    <w:rsid w:val="004E1651"/>
    <w:rsid w:val="004E174B"/>
    <w:rsid w:val="004E1BEA"/>
    <w:rsid w:val="004E1C58"/>
    <w:rsid w:val="004E1CF6"/>
    <w:rsid w:val="004E1FB3"/>
    <w:rsid w:val="004E1FB5"/>
    <w:rsid w:val="004E2167"/>
    <w:rsid w:val="004E2247"/>
    <w:rsid w:val="004E2252"/>
    <w:rsid w:val="004E24C6"/>
    <w:rsid w:val="004E251C"/>
    <w:rsid w:val="004E25AD"/>
    <w:rsid w:val="004E25BA"/>
    <w:rsid w:val="004E266F"/>
    <w:rsid w:val="004E2780"/>
    <w:rsid w:val="004E2ECA"/>
    <w:rsid w:val="004E300D"/>
    <w:rsid w:val="004E32A6"/>
    <w:rsid w:val="004E34BB"/>
    <w:rsid w:val="004E36A9"/>
    <w:rsid w:val="004E3857"/>
    <w:rsid w:val="004E392C"/>
    <w:rsid w:val="004E3A5F"/>
    <w:rsid w:val="004E3ABC"/>
    <w:rsid w:val="004E3BD0"/>
    <w:rsid w:val="004E438A"/>
    <w:rsid w:val="004E43B6"/>
    <w:rsid w:val="004E46FA"/>
    <w:rsid w:val="004E4818"/>
    <w:rsid w:val="004E48A1"/>
    <w:rsid w:val="004E4B30"/>
    <w:rsid w:val="004E4CB9"/>
    <w:rsid w:val="004E4CBA"/>
    <w:rsid w:val="004E4D03"/>
    <w:rsid w:val="004E4D7F"/>
    <w:rsid w:val="004E5D8A"/>
    <w:rsid w:val="004E61BA"/>
    <w:rsid w:val="004E61EF"/>
    <w:rsid w:val="004E625F"/>
    <w:rsid w:val="004E62F6"/>
    <w:rsid w:val="004E63BE"/>
    <w:rsid w:val="004E646F"/>
    <w:rsid w:val="004E651B"/>
    <w:rsid w:val="004E65C8"/>
    <w:rsid w:val="004E6665"/>
    <w:rsid w:val="004E69DC"/>
    <w:rsid w:val="004E6AD3"/>
    <w:rsid w:val="004E6AFE"/>
    <w:rsid w:val="004E6B5F"/>
    <w:rsid w:val="004E6D3E"/>
    <w:rsid w:val="004E6DE3"/>
    <w:rsid w:val="004E6EBB"/>
    <w:rsid w:val="004E70B9"/>
    <w:rsid w:val="004E7143"/>
    <w:rsid w:val="004E714E"/>
    <w:rsid w:val="004E71B0"/>
    <w:rsid w:val="004E71EC"/>
    <w:rsid w:val="004E72B2"/>
    <w:rsid w:val="004E76A2"/>
    <w:rsid w:val="004E7908"/>
    <w:rsid w:val="004E7D90"/>
    <w:rsid w:val="004E7E52"/>
    <w:rsid w:val="004E7ECD"/>
    <w:rsid w:val="004E7F9B"/>
    <w:rsid w:val="004F05C7"/>
    <w:rsid w:val="004F05E7"/>
    <w:rsid w:val="004F076F"/>
    <w:rsid w:val="004F0CF9"/>
    <w:rsid w:val="004F0D9F"/>
    <w:rsid w:val="004F0DC9"/>
    <w:rsid w:val="004F0E67"/>
    <w:rsid w:val="004F103E"/>
    <w:rsid w:val="004F119A"/>
    <w:rsid w:val="004F11AC"/>
    <w:rsid w:val="004F121A"/>
    <w:rsid w:val="004F14B0"/>
    <w:rsid w:val="004F15E4"/>
    <w:rsid w:val="004F171D"/>
    <w:rsid w:val="004F1BE3"/>
    <w:rsid w:val="004F1D48"/>
    <w:rsid w:val="004F1DDD"/>
    <w:rsid w:val="004F21C5"/>
    <w:rsid w:val="004F21D6"/>
    <w:rsid w:val="004F2251"/>
    <w:rsid w:val="004F2471"/>
    <w:rsid w:val="004F24B4"/>
    <w:rsid w:val="004F2849"/>
    <w:rsid w:val="004F2A07"/>
    <w:rsid w:val="004F2D00"/>
    <w:rsid w:val="004F2E90"/>
    <w:rsid w:val="004F308C"/>
    <w:rsid w:val="004F3299"/>
    <w:rsid w:val="004F3590"/>
    <w:rsid w:val="004F374B"/>
    <w:rsid w:val="004F379B"/>
    <w:rsid w:val="004F3AFB"/>
    <w:rsid w:val="004F3B21"/>
    <w:rsid w:val="004F3D07"/>
    <w:rsid w:val="004F3E00"/>
    <w:rsid w:val="004F3E0A"/>
    <w:rsid w:val="004F4008"/>
    <w:rsid w:val="004F47F4"/>
    <w:rsid w:val="004F48AB"/>
    <w:rsid w:val="004F496F"/>
    <w:rsid w:val="004F4B09"/>
    <w:rsid w:val="004F4B1A"/>
    <w:rsid w:val="004F4F14"/>
    <w:rsid w:val="004F4F74"/>
    <w:rsid w:val="004F50DE"/>
    <w:rsid w:val="004F5233"/>
    <w:rsid w:val="004F5737"/>
    <w:rsid w:val="004F5767"/>
    <w:rsid w:val="004F58A7"/>
    <w:rsid w:val="004F58AF"/>
    <w:rsid w:val="004F5AA8"/>
    <w:rsid w:val="004F5DE1"/>
    <w:rsid w:val="004F6149"/>
    <w:rsid w:val="004F622E"/>
    <w:rsid w:val="004F6384"/>
    <w:rsid w:val="004F6792"/>
    <w:rsid w:val="004F68B0"/>
    <w:rsid w:val="004F69EA"/>
    <w:rsid w:val="004F7033"/>
    <w:rsid w:val="004F752E"/>
    <w:rsid w:val="004F7544"/>
    <w:rsid w:val="004F7552"/>
    <w:rsid w:val="004F758C"/>
    <w:rsid w:val="004F762F"/>
    <w:rsid w:val="004F7632"/>
    <w:rsid w:val="004F7A56"/>
    <w:rsid w:val="004F7AA8"/>
    <w:rsid w:val="004F7CE5"/>
    <w:rsid w:val="004F7D79"/>
    <w:rsid w:val="00500120"/>
    <w:rsid w:val="005002CB"/>
    <w:rsid w:val="00500417"/>
    <w:rsid w:val="005004EA"/>
    <w:rsid w:val="00500708"/>
    <w:rsid w:val="0050075A"/>
    <w:rsid w:val="0050075B"/>
    <w:rsid w:val="00500D7B"/>
    <w:rsid w:val="00500DC5"/>
    <w:rsid w:val="00500E1D"/>
    <w:rsid w:val="005010CC"/>
    <w:rsid w:val="005011F0"/>
    <w:rsid w:val="00501281"/>
    <w:rsid w:val="00501340"/>
    <w:rsid w:val="00501437"/>
    <w:rsid w:val="0050148D"/>
    <w:rsid w:val="00501524"/>
    <w:rsid w:val="00501685"/>
    <w:rsid w:val="005018CB"/>
    <w:rsid w:val="00501AE5"/>
    <w:rsid w:val="00501B8B"/>
    <w:rsid w:val="00501F17"/>
    <w:rsid w:val="00501F68"/>
    <w:rsid w:val="005020DB"/>
    <w:rsid w:val="005021D2"/>
    <w:rsid w:val="005021FD"/>
    <w:rsid w:val="00502226"/>
    <w:rsid w:val="005022E3"/>
    <w:rsid w:val="005022E9"/>
    <w:rsid w:val="00502569"/>
    <w:rsid w:val="005025D2"/>
    <w:rsid w:val="00502864"/>
    <w:rsid w:val="005028B6"/>
    <w:rsid w:val="005029F2"/>
    <w:rsid w:val="00502A5A"/>
    <w:rsid w:val="00502D46"/>
    <w:rsid w:val="00502D91"/>
    <w:rsid w:val="005030DE"/>
    <w:rsid w:val="00503323"/>
    <w:rsid w:val="00503649"/>
    <w:rsid w:val="00503668"/>
    <w:rsid w:val="00503755"/>
    <w:rsid w:val="005038BA"/>
    <w:rsid w:val="00503971"/>
    <w:rsid w:val="005039DA"/>
    <w:rsid w:val="00503D78"/>
    <w:rsid w:val="00503EC6"/>
    <w:rsid w:val="00503F5A"/>
    <w:rsid w:val="00503FEE"/>
    <w:rsid w:val="00504066"/>
    <w:rsid w:val="005041BA"/>
    <w:rsid w:val="00504253"/>
    <w:rsid w:val="0050435D"/>
    <w:rsid w:val="00504362"/>
    <w:rsid w:val="00504483"/>
    <w:rsid w:val="005044BE"/>
    <w:rsid w:val="00504562"/>
    <w:rsid w:val="005046E5"/>
    <w:rsid w:val="00504779"/>
    <w:rsid w:val="005047CB"/>
    <w:rsid w:val="005049C3"/>
    <w:rsid w:val="00504C18"/>
    <w:rsid w:val="005054AF"/>
    <w:rsid w:val="0050561D"/>
    <w:rsid w:val="005056A3"/>
    <w:rsid w:val="00505A4B"/>
    <w:rsid w:val="00505BF3"/>
    <w:rsid w:val="00505BFD"/>
    <w:rsid w:val="00505D9A"/>
    <w:rsid w:val="00505EC5"/>
    <w:rsid w:val="00505F74"/>
    <w:rsid w:val="005062FA"/>
    <w:rsid w:val="0050636A"/>
    <w:rsid w:val="005065B4"/>
    <w:rsid w:val="0050662A"/>
    <w:rsid w:val="00506A43"/>
    <w:rsid w:val="00506B12"/>
    <w:rsid w:val="00506FCE"/>
    <w:rsid w:val="00507015"/>
    <w:rsid w:val="00507340"/>
    <w:rsid w:val="005074FA"/>
    <w:rsid w:val="0050753A"/>
    <w:rsid w:val="005076F5"/>
    <w:rsid w:val="00507A9C"/>
    <w:rsid w:val="00507BCB"/>
    <w:rsid w:val="00507CD6"/>
    <w:rsid w:val="00507CDC"/>
    <w:rsid w:val="005100B5"/>
    <w:rsid w:val="0051010E"/>
    <w:rsid w:val="00510188"/>
    <w:rsid w:val="00510234"/>
    <w:rsid w:val="005104AE"/>
    <w:rsid w:val="0051065F"/>
    <w:rsid w:val="0051074A"/>
    <w:rsid w:val="005109C1"/>
    <w:rsid w:val="005109ED"/>
    <w:rsid w:val="00510ADE"/>
    <w:rsid w:val="00510E33"/>
    <w:rsid w:val="00510F63"/>
    <w:rsid w:val="00510F72"/>
    <w:rsid w:val="0051108B"/>
    <w:rsid w:val="0051122A"/>
    <w:rsid w:val="00511302"/>
    <w:rsid w:val="0051137E"/>
    <w:rsid w:val="005115C7"/>
    <w:rsid w:val="00511653"/>
    <w:rsid w:val="00511695"/>
    <w:rsid w:val="0051174D"/>
    <w:rsid w:val="0051176C"/>
    <w:rsid w:val="00511900"/>
    <w:rsid w:val="00511AAF"/>
    <w:rsid w:val="00511B55"/>
    <w:rsid w:val="00511CF0"/>
    <w:rsid w:val="00511D07"/>
    <w:rsid w:val="00511D08"/>
    <w:rsid w:val="00511F2F"/>
    <w:rsid w:val="005120AF"/>
    <w:rsid w:val="005121A8"/>
    <w:rsid w:val="005124CA"/>
    <w:rsid w:val="0051264C"/>
    <w:rsid w:val="00512787"/>
    <w:rsid w:val="00512797"/>
    <w:rsid w:val="00512981"/>
    <w:rsid w:val="00512AAF"/>
    <w:rsid w:val="00512B58"/>
    <w:rsid w:val="00512D9D"/>
    <w:rsid w:val="00512EFF"/>
    <w:rsid w:val="00513259"/>
    <w:rsid w:val="00513441"/>
    <w:rsid w:val="005135C7"/>
    <w:rsid w:val="00513ABA"/>
    <w:rsid w:val="00513BC3"/>
    <w:rsid w:val="00513BE6"/>
    <w:rsid w:val="00513C4A"/>
    <w:rsid w:val="00513C4B"/>
    <w:rsid w:val="00513D20"/>
    <w:rsid w:val="00513D86"/>
    <w:rsid w:val="00513D96"/>
    <w:rsid w:val="005140F0"/>
    <w:rsid w:val="00514AC7"/>
    <w:rsid w:val="00514D21"/>
    <w:rsid w:val="00514D7C"/>
    <w:rsid w:val="0051506D"/>
    <w:rsid w:val="00515073"/>
    <w:rsid w:val="0051511C"/>
    <w:rsid w:val="00515126"/>
    <w:rsid w:val="00515291"/>
    <w:rsid w:val="00515495"/>
    <w:rsid w:val="00515C35"/>
    <w:rsid w:val="00515E19"/>
    <w:rsid w:val="005161B2"/>
    <w:rsid w:val="0051623D"/>
    <w:rsid w:val="00516BFB"/>
    <w:rsid w:val="00516D45"/>
    <w:rsid w:val="00516E3F"/>
    <w:rsid w:val="00516FC3"/>
    <w:rsid w:val="00517059"/>
    <w:rsid w:val="0051736F"/>
    <w:rsid w:val="005173A1"/>
    <w:rsid w:val="005173D6"/>
    <w:rsid w:val="00517804"/>
    <w:rsid w:val="005178E0"/>
    <w:rsid w:val="00517D16"/>
    <w:rsid w:val="00517E1F"/>
    <w:rsid w:val="005201A3"/>
    <w:rsid w:val="0052035C"/>
    <w:rsid w:val="00520466"/>
    <w:rsid w:val="00520514"/>
    <w:rsid w:val="00520592"/>
    <w:rsid w:val="005207DA"/>
    <w:rsid w:val="00520806"/>
    <w:rsid w:val="00520B65"/>
    <w:rsid w:val="00520C62"/>
    <w:rsid w:val="00520ECE"/>
    <w:rsid w:val="00520F40"/>
    <w:rsid w:val="005210A2"/>
    <w:rsid w:val="005210FA"/>
    <w:rsid w:val="00521362"/>
    <w:rsid w:val="005213CC"/>
    <w:rsid w:val="005217F6"/>
    <w:rsid w:val="0052189B"/>
    <w:rsid w:val="0052197C"/>
    <w:rsid w:val="00521D2B"/>
    <w:rsid w:val="00521DDF"/>
    <w:rsid w:val="00521E0C"/>
    <w:rsid w:val="00521F4E"/>
    <w:rsid w:val="00522570"/>
    <w:rsid w:val="005225B0"/>
    <w:rsid w:val="0052266E"/>
    <w:rsid w:val="0052269E"/>
    <w:rsid w:val="00522802"/>
    <w:rsid w:val="0052280D"/>
    <w:rsid w:val="005228A0"/>
    <w:rsid w:val="005228AD"/>
    <w:rsid w:val="00522909"/>
    <w:rsid w:val="00522A84"/>
    <w:rsid w:val="00522B06"/>
    <w:rsid w:val="00522BF9"/>
    <w:rsid w:val="00522D33"/>
    <w:rsid w:val="00522D59"/>
    <w:rsid w:val="00522D84"/>
    <w:rsid w:val="00522DA3"/>
    <w:rsid w:val="00522DE8"/>
    <w:rsid w:val="00522F1E"/>
    <w:rsid w:val="00522FFA"/>
    <w:rsid w:val="00523036"/>
    <w:rsid w:val="005232FB"/>
    <w:rsid w:val="00523556"/>
    <w:rsid w:val="005235D7"/>
    <w:rsid w:val="00523973"/>
    <w:rsid w:val="005239EB"/>
    <w:rsid w:val="00523A86"/>
    <w:rsid w:val="00523C50"/>
    <w:rsid w:val="00523F1C"/>
    <w:rsid w:val="005240CE"/>
    <w:rsid w:val="0052483F"/>
    <w:rsid w:val="00524893"/>
    <w:rsid w:val="00524B16"/>
    <w:rsid w:val="00524D19"/>
    <w:rsid w:val="00524F49"/>
    <w:rsid w:val="00524F93"/>
    <w:rsid w:val="00525633"/>
    <w:rsid w:val="005257E3"/>
    <w:rsid w:val="00525956"/>
    <w:rsid w:val="00525A62"/>
    <w:rsid w:val="00525BFE"/>
    <w:rsid w:val="00525EF3"/>
    <w:rsid w:val="00526064"/>
    <w:rsid w:val="00526120"/>
    <w:rsid w:val="00526188"/>
    <w:rsid w:val="00526227"/>
    <w:rsid w:val="00526250"/>
    <w:rsid w:val="00526599"/>
    <w:rsid w:val="005266CD"/>
    <w:rsid w:val="00526B88"/>
    <w:rsid w:val="00526D11"/>
    <w:rsid w:val="00526E6C"/>
    <w:rsid w:val="00526E7B"/>
    <w:rsid w:val="00526E87"/>
    <w:rsid w:val="00526F32"/>
    <w:rsid w:val="00526F54"/>
    <w:rsid w:val="005270C4"/>
    <w:rsid w:val="0052712B"/>
    <w:rsid w:val="005271DE"/>
    <w:rsid w:val="005272F6"/>
    <w:rsid w:val="0052734F"/>
    <w:rsid w:val="0052779C"/>
    <w:rsid w:val="00527911"/>
    <w:rsid w:val="00527DA4"/>
    <w:rsid w:val="00527DFA"/>
    <w:rsid w:val="00527E3B"/>
    <w:rsid w:val="00527F9F"/>
    <w:rsid w:val="005301BC"/>
    <w:rsid w:val="005302C6"/>
    <w:rsid w:val="00530695"/>
    <w:rsid w:val="0053079A"/>
    <w:rsid w:val="0053080D"/>
    <w:rsid w:val="0053091D"/>
    <w:rsid w:val="00530AA7"/>
    <w:rsid w:val="00530CA6"/>
    <w:rsid w:val="00530D3C"/>
    <w:rsid w:val="00530D87"/>
    <w:rsid w:val="00531081"/>
    <w:rsid w:val="005310A3"/>
    <w:rsid w:val="0053131F"/>
    <w:rsid w:val="005313BF"/>
    <w:rsid w:val="005315F1"/>
    <w:rsid w:val="00531819"/>
    <w:rsid w:val="00531876"/>
    <w:rsid w:val="005318C2"/>
    <w:rsid w:val="00531B9D"/>
    <w:rsid w:val="00531DB8"/>
    <w:rsid w:val="00531DD4"/>
    <w:rsid w:val="00531DE3"/>
    <w:rsid w:val="00531FAC"/>
    <w:rsid w:val="00532100"/>
    <w:rsid w:val="00532163"/>
    <w:rsid w:val="005321C4"/>
    <w:rsid w:val="0053226C"/>
    <w:rsid w:val="0053264C"/>
    <w:rsid w:val="00532665"/>
    <w:rsid w:val="00532875"/>
    <w:rsid w:val="005328C8"/>
    <w:rsid w:val="00532BF6"/>
    <w:rsid w:val="00532E4B"/>
    <w:rsid w:val="00532E80"/>
    <w:rsid w:val="00532F89"/>
    <w:rsid w:val="00532FBB"/>
    <w:rsid w:val="0053301B"/>
    <w:rsid w:val="00533214"/>
    <w:rsid w:val="005333AA"/>
    <w:rsid w:val="00533565"/>
    <w:rsid w:val="005339A9"/>
    <w:rsid w:val="00533A90"/>
    <w:rsid w:val="00533B75"/>
    <w:rsid w:val="00533C8C"/>
    <w:rsid w:val="00533E6F"/>
    <w:rsid w:val="00533E8C"/>
    <w:rsid w:val="005344E8"/>
    <w:rsid w:val="00534571"/>
    <w:rsid w:val="005347FC"/>
    <w:rsid w:val="005348FE"/>
    <w:rsid w:val="005349A4"/>
    <w:rsid w:val="005349B1"/>
    <w:rsid w:val="00534B43"/>
    <w:rsid w:val="00534C49"/>
    <w:rsid w:val="00534EE1"/>
    <w:rsid w:val="00534EEC"/>
    <w:rsid w:val="00534F81"/>
    <w:rsid w:val="005352DB"/>
    <w:rsid w:val="00535398"/>
    <w:rsid w:val="005354C4"/>
    <w:rsid w:val="005354D9"/>
    <w:rsid w:val="00535588"/>
    <w:rsid w:val="005356DF"/>
    <w:rsid w:val="00535C4F"/>
    <w:rsid w:val="00535E43"/>
    <w:rsid w:val="00536056"/>
    <w:rsid w:val="0053612A"/>
    <w:rsid w:val="005361B8"/>
    <w:rsid w:val="005361D0"/>
    <w:rsid w:val="00536432"/>
    <w:rsid w:val="005365B8"/>
    <w:rsid w:val="005366CE"/>
    <w:rsid w:val="005367C2"/>
    <w:rsid w:val="0053689C"/>
    <w:rsid w:val="0053691E"/>
    <w:rsid w:val="005369F0"/>
    <w:rsid w:val="00536A6E"/>
    <w:rsid w:val="00536DCB"/>
    <w:rsid w:val="00536FD1"/>
    <w:rsid w:val="00537242"/>
    <w:rsid w:val="005372D2"/>
    <w:rsid w:val="005373D0"/>
    <w:rsid w:val="0053747F"/>
    <w:rsid w:val="005375F3"/>
    <w:rsid w:val="005379FD"/>
    <w:rsid w:val="00537C0F"/>
    <w:rsid w:val="00537F37"/>
    <w:rsid w:val="00537F53"/>
    <w:rsid w:val="005400F9"/>
    <w:rsid w:val="005401F7"/>
    <w:rsid w:val="00540230"/>
    <w:rsid w:val="00540283"/>
    <w:rsid w:val="005402AE"/>
    <w:rsid w:val="00540493"/>
    <w:rsid w:val="005405E1"/>
    <w:rsid w:val="005407EE"/>
    <w:rsid w:val="00540CB7"/>
    <w:rsid w:val="00540E07"/>
    <w:rsid w:val="00541075"/>
    <w:rsid w:val="00541178"/>
    <w:rsid w:val="0054119E"/>
    <w:rsid w:val="00541342"/>
    <w:rsid w:val="005414E6"/>
    <w:rsid w:val="005415AC"/>
    <w:rsid w:val="005415DA"/>
    <w:rsid w:val="00541707"/>
    <w:rsid w:val="00541727"/>
    <w:rsid w:val="00541776"/>
    <w:rsid w:val="005417DA"/>
    <w:rsid w:val="00541946"/>
    <w:rsid w:val="00541AB0"/>
    <w:rsid w:val="00542034"/>
    <w:rsid w:val="00542071"/>
    <w:rsid w:val="00542374"/>
    <w:rsid w:val="00542387"/>
    <w:rsid w:val="00542781"/>
    <w:rsid w:val="005429E4"/>
    <w:rsid w:val="005429EE"/>
    <w:rsid w:val="00542BE8"/>
    <w:rsid w:val="00542D71"/>
    <w:rsid w:val="00542D99"/>
    <w:rsid w:val="00542E5D"/>
    <w:rsid w:val="00542FA4"/>
    <w:rsid w:val="005431C2"/>
    <w:rsid w:val="00543286"/>
    <w:rsid w:val="0054334B"/>
    <w:rsid w:val="00543518"/>
    <w:rsid w:val="00543747"/>
    <w:rsid w:val="005437BA"/>
    <w:rsid w:val="00543802"/>
    <w:rsid w:val="00543B53"/>
    <w:rsid w:val="00543CCE"/>
    <w:rsid w:val="00543DCD"/>
    <w:rsid w:val="00543E0C"/>
    <w:rsid w:val="00543F90"/>
    <w:rsid w:val="00544244"/>
    <w:rsid w:val="005442F3"/>
    <w:rsid w:val="00544300"/>
    <w:rsid w:val="005444D7"/>
    <w:rsid w:val="005444E6"/>
    <w:rsid w:val="0054460E"/>
    <w:rsid w:val="00544C16"/>
    <w:rsid w:val="00544D5F"/>
    <w:rsid w:val="00544E14"/>
    <w:rsid w:val="00544E64"/>
    <w:rsid w:val="00544F25"/>
    <w:rsid w:val="005451EF"/>
    <w:rsid w:val="005455FB"/>
    <w:rsid w:val="00545779"/>
    <w:rsid w:val="005457D2"/>
    <w:rsid w:val="00545A17"/>
    <w:rsid w:val="00545A83"/>
    <w:rsid w:val="00545C4F"/>
    <w:rsid w:val="00545DE7"/>
    <w:rsid w:val="00545F8E"/>
    <w:rsid w:val="00545FCB"/>
    <w:rsid w:val="00546052"/>
    <w:rsid w:val="005461B9"/>
    <w:rsid w:val="00546240"/>
    <w:rsid w:val="00546257"/>
    <w:rsid w:val="005463C5"/>
    <w:rsid w:val="00546673"/>
    <w:rsid w:val="00546710"/>
    <w:rsid w:val="00546724"/>
    <w:rsid w:val="0054674C"/>
    <w:rsid w:val="00546782"/>
    <w:rsid w:val="00546824"/>
    <w:rsid w:val="00546A5E"/>
    <w:rsid w:val="00546AA6"/>
    <w:rsid w:val="00546BBF"/>
    <w:rsid w:val="0054700B"/>
    <w:rsid w:val="00547046"/>
    <w:rsid w:val="0054706C"/>
    <w:rsid w:val="005473B2"/>
    <w:rsid w:val="0054745F"/>
    <w:rsid w:val="0054759B"/>
    <w:rsid w:val="00547608"/>
    <w:rsid w:val="005477FB"/>
    <w:rsid w:val="00547B09"/>
    <w:rsid w:val="00547B62"/>
    <w:rsid w:val="00547C62"/>
    <w:rsid w:val="00547DF7"/>
    <w:rsid w:val="00550183"/>
    <w:rsid w:val="0055030F"/>
    <w:rsid w:val="00550538"/>
    <w:rsid w:val="0055055D"/>
    <w:rsid w:val="00550657"/>
    <w:rsid w:val="005506BB"/>
    <w:rsid w:val="005508CB"/>
    <w:rsid w:val="00550AA2"/>
    <w:rsid w:val="00550B3A"/>
    <w:rsid w:val="00550BC2"/>
    <w:rsid w:val="00550BEE"/>
    <w:rsid w:val="00550CA9"/>
    <w:rsid w:val="00550FE3"/>
    <w:rsid w:val="00550FE9"/>
    <w:rsid w:val="0055122D"/>
    <w:rsid w:val="00551272"/>
    <w:rsid w:val="00551455"/>
    <w:rsid w:val="00551569"/>
    <w:rsid w:val="005515EA"/>
    <w:rsid w:val="00551871"/>
    <w:rsid w:val="00551873"/>
    <w:rsid w:val="00551B04"/>
    <w:rsid w:val="00551D0E"/>
    <w:rsid w:val="00551DA5"/>
    <w:rsid w:val="00551FBE"/>
    <w:rsid w:val="00552140"/>
    <w:rsid w:val="00552169"/>
    <w:rsid w:val="005521F3"/>
    <w:rsid w:val="0055223B"/>
    <w:rsid w:val="00552305"/>
    <w:rsid w:val="00552659"/>
    <w:rsid w:val="00552672"/>
    <w:rsid w:val="005526CB"/>
    <w:rsid w:val="00552847"/>
    <w:rsid w:val="005528F1"/>
    <w:rsid w:val="00552986"/>
    <w:rsid w:val="005529F1"/>
    <w:rsid w:val="00552AF7"/>
    <w:rsid w:val="00552C4E"/>
    <w:rsid w:val="00552F16"/>
    <w:rsid w:val="00552F6E"/>
    <w:rsid w:val="00553013"/>
    <w:rsid w:val="00553621"/>
    <w:rsid w:val="00553B17"/>
    <w:rsid w:val="00553BE1"/>
    <w:rsid w:val="00553E07"/>
    <w:rsid w:val="00553F67"/>
    <w:rsid w:val="005541AD"/>
    <w:rsid w:val="005541E4"/>
    <w:rsid w:val="005543F2"/>
    <w:rsid w:val="005547D1"/>
    <w:rsid w:val="005547D9"/>
    <w:rsid w:val="00554893"/>
    <w:rsid w:val="00554DAB"/>
    <w:rsid w:val="00554ED0"/>
    <w:rsid w:val="005550DD"/>
    <w:rsid w:val="005550F0"/>
    <w:rsid w:val="00555150"/>
    <w:rsid w:val="00555600"/>
    <w:rsid w:val="0055569A"/>
    <w:rsid w:val="005556EE"/>
    <w:rsid w:val="0055572A"/>
    <w:rsid w:val="00555937"/>
    <w:rsid w:val="00555AFC"/>
    <w:rsid w:val="00555B01"/>
    <w:rsid w:val="00555BD1"/>
    <w:rsid w:val="00555BF6"/>
    <w:rsid w:val="00555C0E"/>
    <w:rsid w:val="00555E97"/>
    <w:rsid w:val="005561CD"/>
    <w:rsid w:val="00556273"/>
    <w:rsid w:val="005564DF"/>
    <w:rsid w:val="00556520"/>
    <w:rsid w:val="00556535"/>
    <w:rsid w:val="005565D3"/>
    <w:rsid w:val="00556816"/>
    <w:rsid w:val="005569AE"/>
    <w:rsid w:val="00556E1F"/>
    <w:rsid w:val="00557044"/>
    <w:rsid w:val="005572E2"/>
    <w:rsid w:val="0055732E"/>
    <w:rsid w:val="005575BA"/>
    <w:rsid w:val="00557720"/>
    <w:rsid w:val="0055776E"/>
    <w:rsid w:val="005577F0"/>
    <w:rsid w:val="005579CE"/>
    <w:rsid w:val="00557AF6"/>
    <w:rsid w:val="00557AF9"/>
    <w:rsid w:val="00557EE4"/>
    <w:rsid w:val="00560128"/>
    <w:rsid w:val="005601FC"/>
    <w:rsid w:val="005605E9"/>
    <w:rsid w:val="0056073D"/>
    <w:rsid w:val="00560744"/>
    <w:rsid w:val="0056076D"/>
    <w:rsid w:val="00560989"/>
    <w:rsid w:val="005609C1"/>
    <w:rsid w:val="00560AEC"/>
    <w:rsid w:val="00560CC7"/>
    <w:rsid w:val="00560D00"/>
    <w:rsid w:val="00560D5C"/>
    <w:rsid w:val="00560E62"/>
    <w:rsid w:val="00560F5C"/>
    <w:rsid w:val="00560FC5"/>
    <w:rsid w:val="005610EF"/>
    <w:rsid w:val="0056110C"/>
    <w:rsid w:val="0056113A"/>
    <w:rsid w:val="00561171"/>
    <w:rsid w:val="00561172"/>
    <w:rsid w:val="005612DF"/>
    <w:rsid w:val="00561308"/>
    <w:rsid w:val="00561315"/>
    <w:rsid w:val="0056136C"/>
    <w:rsid w:val="0056146F"/>
    <w:rsid w:val="005615B2"/>
    <w:rsid w:val="005615DF"/>
    <w:rsid w:val="0056164E"/>
    <w:rsid w:val="00561657"/>
    <w:rsid w:val="00561A40"/>
    <w:rsid w:val="00561B5F"/>
    <w:rsid w:val="00561FEB"/>
    <w:rsid w:val="00561FF3"/>
    <w:rsid w:val="0056201F"/>
    <w:rsid w:val="00562184"/>
    <w:rsid w:val="00562509"/>
    <w:rsid w:val="0056262A"/>
    <w:rsid w:val="0056282B"/>
    <w:rsid w:val="00562BDA"/>
    <w:rsid w:val="0056308A"/>
    <w:rsid w:val="0056308F"/>
    <w:rsid w:val="0056331B"/>
    <w:rsid w:val="00563412"/>
    <w:rsid w:val="00563706"/>
    <w:rsid w:val="005637D7"/>
    <w:rsid w:val="00563836"/>
    <w:rsid w:val="00563BEA"/>
    <w:rsid w:val="00563C41"/>
    <w:rsid w:val="00563D3D"/>
    <w:rsid w:val="00563F13"/>
    <w:rsid w:val="00563FB6"/>
    <w:rsid w:val="0056407C"/>
    <w:rsid w:val="00564210"/>
    <w:rsid w:val="005642B6"/>
    <w:rsid w:val="005644BC"/>
    <w:rsid w:val="00564CC1"/>
    <w:rsid w:val="00564CCF"/>
    <w:rsid w:val="00564DEC"/>
    <w:rsid w:val="00564E9A"/>
    <w:rsid w:val="0056519F"/>
    <w:rsid w:val="0056557E"/>
    <w:rsid w:val="00565616"/>
    <w:rsid w:val="0056576F"/>
    <w:rsid w:val="00565824"/>
    <w:rsid w:val="00565BC3"/>
    <w:rsid w:val="00565C5A"/>
    <w:rsid w:val="00565CB9"/>
    <w:rsid w:val="00565D6B"/>
    <w:rsid w:val="00565FEE"/>
    <w:rsid w:val="00566280"/>
    <w:rsid w:val="00566384"/>
    <w:rsid w:val="00566391"/>
    <w:rsid w:val="005663A6"/>
    <w:rsid w:val="0056664A"/>
    <w:rsid w:val="00566705"/>
    <w:rsid w:val="00566921"/>
    <w:rsid w:val="00566983"/>
    <w:rsid w:val="00566C79"/>
    <w:rsid w:val="00566D50"/>
    <w:rsid w:val="00566FA3"/>
    <w:rsid w:val="005670CC"/>
    <w:rsid w:val="00567168"/>
    <w:rsid w:val="00567218"/>
    <w:rsid w:val="005672E5"/>
    <w:rsid w:val="0056761D"/>
    <w:rsid w:val="0056787D"/>
    <w:rsid w:val="005678CC"/>
    <w:rsid w:val="005679EC"/>
    <w:rsid w:val="00567BD1"/>
    <w:rsid w:val="00567D6E"/>
    <w:rsid w:val="005700C1"/>
    <w:rsid w:val="0057010B"/>
    <w:rsid w:val="0057028E"/>
    <w:rsid w:val="00570441"/>
    <w:rsid w:val="00570741"/>
    <w:rsid w:val="00570843"/>
    <w:rsid w:val="00570C0E"/>
    <w:rsid w:val="00570C37"/>
    <w:rsid w:val="00570ECD"/>
    <w:rsid w:val="00570F45"/>
    <w:rsid w:val="00570FCB"/>
    <w:rsid w:val="005711EB"/>
    <w:rsid w:val="00571224"/>
    <w:rsid w:val="00571255"/>
    <w:rsid w:val="00571801"/>
    <w:rsid w:val="005719E5"/>
    <w:rsid w:val="00571A60"/>
    <w:rsid w:val="00571B1B"/>
    <w:rsid w:val="00571BD5"/>
    <w:rsid w:val="00571BF3"/>
    <w:rsid w:val="00571C4E"/>
    <w:rsid w:val="00571EF2"/>
    <w:rsid w:val="00571F42"/>
    <w:rsid w:val="00571FC7"/>
    <w:rsid w:val="00571FEA"/>
    <w:rsid w:val="005721D4"/>
    <w:rsid w:val="00572650"/>
    <w:rsid w:val="00572666"/>
    <w:rsid w:val="005726D7"/>
    <w:rsid w:val="00572888"/>
    <w:rsid w:val="005729E0"/>
    <w:rsid w:val="00572ACF"/>
    <w:rsid w:val="00572C70"/>
    <w:rsid w:val="00572F4D"/>
    <w:rsid w:val="00573190"/>
    <w:rsid w:val="005734AA"/>
    <w:rsid w:val="00573C54"/>
    <w:rsid w:val="00573CF2"/>
    <w:rsid w:val="00573DA8"/>
    <w:rsid w:val="00573EF8"/>
    <w:rsid w:val="00574024"/>
    <w:rsid w:val="00574055"/>
    <w:rsid w:val="005741CC"/>
    <w:rsid w:val="0057454F"/>
    <w:rsid w:val="00574598"/>
    <w:rsid w:val="00574A8A"/>
    <w:rsid w:val="00574C5C"/>
    <w:rsid w:val="00574E8E"/>
    <w:rsid w:val="00574F84"/>
    <w:rsid w:val="00574FEB"/>
    <w:rsid w:val="00575012"/>
    <w:rsid w:val="00575070"/>
    <w:rsid w:val="005750A5"/>
    <w:rsid w:val="00575326"/>
    <w:rsid w:val="00575458"/>
    <w:rsid w:val="005754F9"/>
    <w:rsid w:val="005756B3"/>
    <w:rsid w:val="00575871"/>
    <w:rsid w:val="0057596E"/>
    <w:rsid w:val="00575C73"/>
    <w:rsid w:val="00575E3C"/>
    <w:rsid w:val="00575E62"/>
    <w:rsid w:val="00576328"/>
    <w:rsid w:val="00576406"/>
    <w:rsid w:val="0057657E"/>
    <w:rsid w:val="0057664A"/>
    <w:rsid w:val="00576C68"/>
    <w:rsid w:val="00576CD2"/>
    <w:rsid w:val="00576D5B"/>
    <w:rsid w:val="00576D7D"/>
    <w:rsid w:val="00576DC7"/>
    <w:rsid w:val="00576F1D"/>
    <w:rsid w:val="00576F3D"/>
    <w:rsid w:val="005770BE"/>
    <w:rsid w:val="005770D0"/>
    <w:rsid w:val="005770F8"/>
    <w:rsid w:val="00577197"/>
    <w:rsid w:val="005773B2"/>
    <w:rsid w:val="00577418"/>
    <w:rsid w:val="005776BD"/>
    <w:rsid w:val="005776FF"/>
    <w:rsid w:val="005777FD"/>
    <w:rsid w:val="005778F5"/>
    <w:rsid w:val="00577C44"/>
    <w:rsid w:val="00577E4A"/>
    <w:rsid w:val="00577F74"/>
    <w:rsid w:val="00577FA8"/>
    <w:rsid w:val="0058001F"/>
    <w:rsid w:val="0058018F"/>
    <w:rsid w:val="00580249"/>
    <w:rsid w:val="005802E5"/>
    <w:rsid w:val="005805CA"/>
    <w:rsid w:val="00580691"/>
    <w:rsid w:val="005806EB"/>
    <w:rsid w:val="00580854"/>
    <w:rsid w:val="00580C1A"/>
    <w:rsid w:val="00580D80"/>
    <w:rsid w:val="00580E2F"/>
    <w:rsid w:val="00580E87"/>
    <w:rsid w:val="0058100E"/>
    <w:rsid w:val="0058108E"/>
    <w:rsid w:val="005810D3"/>
    <w:rsid w:val="00581AD2"/>
    <w:rsid w:val="00581BD6"/>
    <w:rsid w:val="00581F37"/>
    <w:rsid w:val="0058202E"/>
    <w:rsid w:val="005823DA"/>
    <w:rsid w:val="005823E2"/>
    <w:rsid w:val="00582626"/>
    <w:rsid w:val="00582811"/>
    <w:rsid w:val="00582898"/>
    <w:rsid w:val="005828A9"/>
    <w:rsid w:val="00582B0A"/>
    <w:rsid w:val="00582B92"/>
    <w:rsid w:val="00582C09"/>
    <w:rsid w:val="00582D53"/>
    <w:rsid w:val="00582D69"/>
    <w:rsid w:val="00582D9E"/>
    <w:rsid w:val="00582F0B"/>
    <w:rsid w:val="00583026"/>
    <w:rsid w:val="0058331C"/>
    <w:rsid w:val="0058332D"/>
    <w:rsid w:val="00583346"/>
    <w:rsid w:val="00583371"/>
    <w:rsid w:val="005833AA"/>
    <w:rsid w:val="00583401"/>
    <w:rsid w:val="0058349C"/>
    <w:rsid w:val="005834E9"/>
    <w:rsid w:val="0058358A"/>
    <w:rsid w:val="005835A3"/>
    <w:rsid w:val="005836EF"/>
    <w:rsid w:val="00583924"/>
    <w:rsid w:val="00583934"/>
    <w:rsid w:val="005839C9"/>
    <w:rsid w:val="00583AC9"/>
    <w:rsid w:val="00583CD3"/>
    <w:rsid w:val="00583CFA"/>
    <w:rsid w:val="00583D74"/>
    <w:rsid w:val="0058403F"/>
    <w:rsid w:val="0058486F"/>
    <w:rsid w:val="005848A2"/>
    <w:rsid w:val="00584A55"/>
    <w:rsid w:val="00584AE3"/>
    <w:rsid w:val="00584E3F"/>
    <w:rsid w:val="00584EC1"/>
    <w:rsid w:val="00584EE9"/>
    <w:rsid w:val="0058516E"/>
    <w:rsid w:val="005853A2"/>
    <w:rsid w:val="005854E0"/>
    <w:rsid w:val="0058559C"/>
    <w:rsid w:val="00585801"/>
    <w:rsid w:val="0058587C"/>
    <w:rsid w:val="00586047"/>
    <w:rsid w:val="0058638C"/>
    <w:rsid w:val="0058688E"/>
    <w:rsid w:val="00586C79"/>
    <w:rsid w:val="00586E47"/>
    <w:rsid w:val="00586E4F"/>
    <w:rsid w:val="00586E68"/>
    <w:rsid w:val="00586F08"/>
    <w:rsid w:val="0058733E"/>
    <w:rsid w:val="005877AB"/>
    <w:rsid w:val="00587803"/>
    <w:rsid w:val="0058798F"/>
    <w:rsid w:val="00587BD9"/>
    <w:rsid w:val="00587D49"/>
    <w:rsid w:val="00587F49"/>
    <w:rsid w:val="00587F88"/>
    <w:rsid w:val="005901B9"/>
    <w:rsid w:val="00590249"/>
    <w:rsid w:val="00590929"/>
    <w:rsid w:val="00590A80"/>
    <w:rsid w:val="00590AD2"/>
    <w:rsid w:val="00590B94"/>
    <w:rsid w:val="00590BE8"/>
    <w:rsid w:val="00590D15"/>
    <w:rsid w:val="00590FA1"/>
    <w:rsid w:val="00591231"/>
    <w:rsid w:val="005913B4"/>
    <w:rsid w:val="00591516"/>
    <w:rsid w:val="005915E5"/>
    <w:rsid w:val="00591BD6"/>
    <w:rsid w:val="00591CFB"/>
    <w:rsid w:val="00591E4B"/>
    <w:rsid w:val="005926AA"/>
    <w:rsid w:val="005926BD"/>
    <w:rsid w:val="0059297F"/>
    <w:rsid w:val="00592982"/>
    <w:rsid w:val="00592A9D"/>
    <w:rsid w:val="00592F57"/>
    <w:rsid w:val="00593204"/>
    <w:rsid w:val="00593630"/>
    <w:rsid w:val="005938E2"/>
    <w:rsid w:val="00593900"/>
    <w:rsid w:val="00593A88"/>
    <w:rsid w:val="00593B74"/>
    <w:rsid w:val="00593C03"/>
    <w:rsid w:val="00593DE8"/>
    <w:rsid w:val="00593EA8"/>
    <w:rsid w:val="0059417C"/>
    <w:rsid w:val="005941B5"/>
    <w:rsid w:val="005941C2"/>
    <w:rsid w:val="005945B9"/>
    <w:rsid w:val="0059481C"/>
    <w:rsid w:val="0059488D"/>
    <w:rsid w:val="005948F2"/>
    <w:rsid w:val="005949BE"/>
    <w:rsid w:val="00594A9E"/>
    <w:rsid w:val="00594B13"/>
    <w:rsid w:val="00594C45"/>
    <w:rsid w:val="00594D2F"/>
    <w:rsid w:val="00594F8F"/>
    <w:rsid w:val="00595072"/>
    <w:rsid w:val="005951C2"/>
    <w:rsid w:val="00595432"/>
    <w:rsid w:val="005957E3"/>
    <w:rsid w:val="005958E9"/>
    <w:rsid w:val="00595A7C"/>
    <w:rsid w:val="00595B8E"/>
    <w:rsid w:val="00595CB4"/>
    <w:rsid w:val="00595FC6"/>
    <w:rsid w:val="00596096"/>
    <w:rsid w:val="00596353"/>
    <w:rsid w:val="00596749"/>
    <w:rsid w:val="0059678D"/>
    <w:rsid w:val="0059694F"/>
    <w:rsid w:val="00596A6D"/>
    <w:rsid w:val="00596F52"/>
    <w:rsid w:val="005970FB"/>
    <w:rsid w:val="0059724A"/>
    <w:rsid w:val="005975E2"/>
    <w:rsid w:val="00597611"/>
    <w:rsid w:val="0059765C"/>
    <w:rsid w:val="005976C2"/>
    <w:rsid w:val="00597DDE"/>
    <w:rsid w:val="005A06EE"/>
    <w:rsid w:val="005A0B09"/>
    <w:rsid w:val="005A0FB9"/>
    <w:rsid w:val="005A1016"/>
    <w:rsid w:val="005A10B7"/>
    <w:rsid w:val="005A112C"/>
    <w:rsid w:val="005A1257"/>
    <w:rsid w:val="005A1263"/>
    <w:rsid w:val="005A132E"/>
    <w:rsid w:val="005A144A"/>
    <w:rsid w:val="005A16F0"/>
    <w:rsid w:val="005A17B2"/>
    <w:rsid w:val="005A1827"/>
    <w:rsid w:val="005A1E8B"/>
    <w:rsid w:val="005A1F8E"/>
    <w:rsid w:val="005A237D"/>
    <w:rsid w:val="005A23EC"/>
    <w:rsid w:val="005A2670"/>
    <w:rsid w:val="005A2719"/>
    <w:rsid w:val="005A2913"/>
    <w:rsid w:val="005A291C"/>
    <w:rsid w:val="005A2A45"/>
    <w:rsid w:val="005A2A95"/>
    <w:rsid w:val="005A2B1D"/>
    <w:rsid w:val="005A2E4D"/>
    <w:rsid w:val="005A2F82"/>
    <w:rsid w:val="005A3045"/>
    <w:rsid w:val="005A3206"/>
    <w:rsid w:val="005A3609"/>
    <w:rsid w:val="005A3749"/>
    <w:rsid w:val="005A3FE8"/>
    <w:rsid w:val="005A400C"/>
    <w:rsid w:val="005A4061"/>
    <w:rsid w:val="005A4119"/>
    <w:rsid w:val="005A450E"/>
    <w:rsid w:val="005A4933"/>
    <w:rsid w:val="005A4BF5"/>
    <w:rsid w:val="005A4D49"/>
    <w:rsid w:val="005A4D7D"/>
    <w:rsid w:val="005A4ED9"/>
    <w:rsid w:val="005A4F1B"/>
    <w:rsid w:val="005A5260"/>
    <w:rsid w:val="005A537D"/>
    <w:rsid w:val="005A55A9"/>
    <w:rsid w:val="005A564A"/>
    <w:rsid w:val="005A5961"/>
    <w:rsid w:val="005A5F3C"/>
    <w:rsid w:val="005A605A"/>
    <w:rsid w:val="005A6082"/>
    <w:rsid w:val="005A615F"/>
    <w:rsid w:val="005A633C"/>
    <w:rsid w:val="005A635C"/>
    <w:rsid w:val="005A63A9"/>
    <w:rsid w:val="005A63C4"/>
    <w:rsid w:val="005A67A0"/>
    <w:rsid w:val="005A67D8"/>
    <w:rsid w:val="005A681E"/>
    <w:rsid w:val="005A694A"/>
    <w:rsid w:val="005A6C52"/>
    <w:rsid w:val="005A6EE2"/>
    <w:rsid w:val="005A72E7"/>
    <w:rsid w:val="005A7572"/>
    <w:rsid w:val="005A75D3"/>
    <w:rsid w:val="005A7668"/>
    <w:rsid w:val="005A7874"/>
    <w:rsid w:val="005A7895"/>
    <w:rsid w:val="005A7B1F"/>
    <w:rsid w:val="005A7D58"/>
    <w:rsid w:val="005A7E23"/>
    <w:rsid w:val="005A7E5E"/>
    <w:rsid w:val="005A7F2B"/>
    <w:rsid w:val="005A7FF7"/>
    <w:rsid w:val="005B00E8"/>
    <w:rsid w:val="005B027E"/>
    <w:rsid w:val="005B03B2"/>
    <w:rsid w:val="005B050E"/>
    <w:rsid w:val="005B054C"/>
    <w:rsid w:val="005B0619"/>
    <w:rsid w:val="005B0693"/>
    <w:rsid w:val="005B07C4"/>
    <w:rsid w:val="005B0866"/>
    <w:rsid w:val="005B0B3A"/>
    <w:rsid w:val="005B0BB7"/>
    <w:rsid w:val="005B0CC0"/>
    <w:rsid w:val="005B0D8A"/>
    <w:rsid w:val="005B0EE9"/>
    <w:rsid w:val="005B102E"/>
    <w:rsid w:val="005B11B0"/>
    <w:rsid w:val="005B11C6"/>
    <w:rsid w:val="005B1370"/>
    <w:rsid w:val="005B157D"/>
    <w:rsid w:val="005B15C3"/>
    <w:rsid w:val="005B17DD"/>
    <w:rsid w:val="005B1A85"/>
    <w:rsid w:val="005B1A92"/>
    <w:rsid w:val="005B1CA8"/>
    <w:rsid w:val="005B20D4"/>
    <w:rsid w:val="005B237B"/>
    <w:rsid w:val="005B2A73"/>
    <w:rsid w:val="005B2C25"/>
    <w:rsid w:val="005B2D85"/>
    <w:rsid w:val="005B2DDF"/>
    <w:rsid w:val="005B2F6B"/>
    <w:rsid w:val="005B329C"/>
    <w:rsid w:val="005B32E1"/>
    <w:rsid w:val="005B36FE"/>
    <w:rsid w:val="005B392B"/>
    <w:rsid w:val="005B3A16"/>
    <w:rsid w:val="005B3C3F"/>
    <w:rsid w:val="005B3C8B"/>
    <w:rsid w:val="005B3D52"/>
    <w:rsid w:val="005B3EC0"/>
    <w:rsid w:val="005B3FEA"/>
    <w:rsid w:val="005B4406"/>
    <w:rsid w:val="005B4441"/>
    <w:rsid w:val="005B4544"/>
    <w:rsid w:val="005B45F9"/>
    <w:rsid w:val="005B47E4"/>
    <w:rsid w:val="005B4A9C"/>
    <w:rsid w:val="005B4CEE"/>
    <w:rsid w:val="005B4FF3"/>
    <w:rsid w:val="005B5051"/>
    <w:rsid w:val="005B5228"/>
    <w:rsid w:val="005B551B"/>
    <w:rsid w:val="005B57A2"/>
    <w:rsid w:val="005B5830"/>
    <w:rsid w:val="005B58F7"/>
    <w:rsid w:val="005B599F"/>
    <w:rsid w:val="005B5BAB"/>
    <w:rsid w:val="005B5DDA"/>
    <w:rsid w:val="005B5E71"/>
    <w:rsid w:val="005B5F06"/>
    <w:rsid w:val="005B6004"/>
    <w:rsid w:val="005B6545"/>
    <w:rsid w:val="005B65E7"/>
    <w:rsid w:val="005B69E0"/>
    <w:rsid w:val="005B6BFA"/>
    <w:rsid w:val="005B6D00"/>
    <w:rsid w:val="005B6D46"/>
    <w:rsid w:val="005B6E48"/>
    <w:rsid w:val="005B6FFD"/>
    <w:rsid w:val="005B72BE"/>
    <w:rsid w:val="005B7322"/>
    <w:rsid w:val="005B742B"/>
    <w:rsid w:val="005B76EB"/>
    <w:rsid w:val="005B7715"/>
    <w:rsid w:val="005B77CF"/>
    <w:rsid w:val="005B77E8"/>
    <w:rsid w:val="005B79CB"/>
    <w:rsid w:val="005B7ABB"/>
    <w:rsid w:val="005B7B4F"/>
    <w:rsid w:val="005B7D1D"/>
    <w:rsid w:val="005B7EA8"/>
    <w:rsid w:val="005C0149"/>
    <w:rsid w:val="005C0279"/>
    <w:rsid w:val="005C02B6"/>
    <w:rsid w:val="005C04B0"/>
    <w:rsid w:val="005C051C"/>
    <w:rsid w:val="005C057A"/>
    <w:rsid w:val="005C05C8"/>
    <w:rsid w:val="005C0687"/>
    <w:rsid w:val="005C0748"/>
    <w:rsid w:val="005C099B"/>
    <w:rsid w:val="005C09CC"/>
    <w:rsid w:val="005C0BAE"/>
    <w:rsid w:val="005C0C57"/>
    <w:rsid w:val="005C0F75"/>
    <w:rsid w:val="005C100D"/>
    <w:rsid w:val="005C116E"/>
    <w:rsid w:val="005C136A"/>
    <w:rsid w:val="005C1561"/>
    <w:rsid w:val="005C1717"/>
    <w:rsid w:val="005C1837"/>
    <w:rsid w:val="005C1905"/>
    <w:rsid w:val="005C1997"/>
    <w:rsid w:val="005C1AAC"/>
    <w:rsid w:val="005C1ADB"/>
    <w:rsid w:val="005C1BE9"/>
    <w:rsid w:val="005C1C85"/>
    <w:rsid w:val="005C1CC2"/>
    <w:rsid w:val="005C1D35"/>
    <w:rsid w:val="005C1EE7"/>
    <w:rsid w:val="005C20E5"/>
    <w:rsid w:val="005C213F"/>
    <w:rsid w:val="005C2609"/>
    <w:rsid w:val="005C268D"/>
    <w:rsid w:val="005C2AEA"/>
    <w:rsid w:val="005C2C99"/>
    <w:rsid w:val="005C2E41"/>
    <w:rsid w:val="005C2E9C"/>
    <w:rsid w:val="005C2F80"/>
    <w:rsid w:val="005C305B"/>
    <w:rsid w:val="005C3192"/>
    <w:rsid w:val="005C3371"/>
    <w:rsid w:val="005C3478"/>
    <w:rsid w:val="005C3543"/>
    <w:rsid w:val="005C3558"/>
    <w:rsid w:val="005C3636"/>
    <w:rsid w:val="005C37F3"/>
    <w:rsid w:val="005C3965"/>
    <w:rsid w:val="005C3CE3"/>
    <w:rsid w:val="005C3E0B"/>
    <w:rsid w:val="005C3FB6"/>
    <w:rsid w:val="005C4619"/>
    <w:rsid w:val="005C462F"/>
    <w:rsid w:val="005C46B2"/>
    <w:rsid w:val="005C46BD"/>
    <w:rsid w:val="005C47C0"/>
    <w:rsid w:val="005C499A"/>
    <w:rsid w:val="005C4A53"/>
    <w:rsid w:val="005C509F"/>
    <w:rsid w:val="005C50F2"/>
    <w:rsid w:val="005C527A"/>
    <w:rsid w:val="005C52C1"/>
    <w:rsid w:val="005C5347"/>
    <w:rsid w:val="005C5413"/>
    <w:rsid w:val="005C5555"/>
    <w:rsid w:val="005C57AA"/>
    <w:rsid w:val="005C57F3"/>
    <w:rsid w:val="005C59F9"/>
    <w:rsid w:val="005C5CAB"/>
    <w:rsid w:val="005C5F55"/>
    <w:rsid w:val="005C60A8"/>
    <w:rsid w:val="005C6144"/>
    <w:rsid w:val="005C6263"/>
    <w:rsid w:val="005C6C3E"/>
    <w:rsid w:val="005C6F04"/>
    <w:rsid w:val="005C71D1"/>
    <w:rsid w:val="005C71DC"/>
    <w:rsid w:val="005C7223"/>
    <w:rsid w:val="005C7375"/>
    <w:rsid w:val="005C7412"/>
    <w:rsid w:val="005C7420"/>
    <w:rsid w:val="005C74D1"/>
    <w:rsid w:val="005C76AA"/>
    <w:rsid w:val="005C775A"/>
    <w:rsid w:val="005C7784"/>
    <w:rsid w:val="005C7AB5"/>
    <w:rsid w:val="005C7B9C"/>
    <w:rsid w:val="005C7DCA"/>
    <w:rsid w:val="005C7F88"/>
    <w:rsid w:val="005D0118"/>
    <w:rsid w:val="005D0150"/>
    <w:rsid w:val="005D01BE"/>
    <w:rsid w:val="005D0291"/>
    <w:rsid w:val="005D03C2"/>
    <w:rsid w:val="005D04AF"/>
    <w:rsid w:val="005D073F"/>
    <w:rsid w:val="005D08AF"/>
    <w:rsid w:val="005D0918"/>
    <w:rsid w:val="005D0956"/>
    <w:rsid w:val="005D0C29"/>
    <w:rsid w:val="005D0C35"/>
    <w:rsid w:val="005D0D53"/>
    <w:rsid w:val="005D105B"/>
    <w:rsid w:val="005D1070"/>
    <w:rsid w:val="005D11AD"/>
    <w:rsid w:val="005D1247"/>
    <w:rsid w:val="005D1553"/>
    <w:rsid w:val="005D16C2"/>
    <w:rsid w:val="005D189C"/>
    <w:rsid w:val="005D1BBE"/>
    <w:rsid w:val="005D1D87"/>
    <w:rsid w:val="005D1E3F"/>
    <w:rsid w:val="005D21BC"/>
    <w:rsid w:val="005D21F4"/>
    <w:rsid w:val="005D23A5"/>
    <w:rsid w:val="005D23AC"/>
    <w:rsid w:val="005D2876"/>
    <w:rsid w:val="005D2A52"/>
    <w:rsid w:val="005D2D69"/>
    <w:rsid w:val="005D2EA4"/>
    <w:rsid w:val="005D2F15"/>
    <w:rsid w:val="005D30BA"/>
    <w:rsid w:val="005D31B0"/>
    <w:rsid w:val="005D3203"/>
    <w:rsid w:val="005D32AB"/>
    <w:rsid w:val="005D39B5"/>
    <w:rsid w:val="005D39E7"/>
    <w:rsid w:val="005D3EDE"/>
    <w:rsid w:val="005D3EEE"/>
    <w:rsid w:val="005D4244"/>
    <w:rsid w:val="005D44AA"/>
    <w:rsid w:val="005D4786"/>
    <w:rsid w:val="005D47DC"/>
    <w:rsid w:val="005D4AAD"/>
    <w:rsid w:val="005D4BBE"/>
    <w:rsid w:val="005D4BC2"/>
    <w:rsid w:val="005D4C34"/>
    <w:rsid w:val="005D4C59"/>
    <w:rsid w:val="005D4F95"/>
    <w:rsid w:val="005D4FF5"/>
    <w:rsid w:val="005D5357"/>
    <w:rsid w:val="005D536E"/>
    <w:rsid w:val="005D53DB"/>
    <w:rsid w:val="005D5455"/>
    <w:rsid w:val="005D57A6"/>
    <w:rsid w:val="005D5A14"/>
    <w:rsid w:val="005D5FC7"/>
    <w:rsid w:val="005D604C"/>
    <w:rsid w:val="005D60E6"/>
    <w:rsid w:val="005D60F6"/>
    <w:rsid w:val="005D62E8"/>
    <w:rsid w:val="005D67F3"/>
    <w:rsid w:val="005D67FD"/>
    <w:rsid w:val="005D6A07"/>
    <w:rsid w:val="005D6A97"/>
    <w:rsid w:val="005D6C03"/>
    <w:rsid w:val="005D6CEC"/>
    <w:rsid w:val="005D6F98"/>
    <w:rsid w:val="005D6FF8"/>
    <w:rsid w:val="005D70B0"/>
    <w:rsid w:val="005D7120"/>
    <w:rsid w:val="005D71C6"/>
    <w:rsid w:val="005D755B"/>
    <w:rsid w:val="005D761A"/>
    <w:rsid w:val="005D797D"/>
    <w:rsid w:val="005D7991"/>
    <w:rsid w:val="005D79D2"/>
    <w:rsid w:val="005D7A1E"/>
    <w:rsid w:val="005D7BB4"/>
    <w:rsid w:val="005D7D75"/>
    <w:rsid w:val="005D7E71"/>
    <w:rsid w:val="005E01E0"/>
    <w:rsid w:val="005E0291"/>
    <w:rsid w:val="005E0307"/>
    <w:rsid w:val="005E035E"/>
    <w:rsid w:val="005E03A9"/>
    <w:rsid w:val="005E0444"/>
    <w:rsid w:val="005E05F8"/>
    <w:rsid w:val="005E09E3"/>
    <w:rsid w:val="005E0AB8"/>
    <w:rsid w:val="005E0B18"/>
    <w:rsid w:val="005E0BD3"/>
    <w:rsid w:val="005E0D90"/>
    <w:rsid w:val="005E0DD0"/>
    <w:rsid w:val="005E0F0B"/>
    <w:rsid w:val="005E0F90"/>
    <w:rsid w:val="005E1003"/>
    <w:rsid w:val="005E1020"/>
    <w:rsid w:val="005E10AE"/>
    <w:rsid w:val="005E10C5"/>
    <w:rsid w:val="005E114B"/>
    <w:rsid w:val="005E11A6"/>
    <w:rsid w:val="005E134D"/>
    <w:rsid w:val="005E13F7"/>
    <w:rsid w:val="005E16D5"/>
    <w:rsid w:val="005E1A20"/>
    <w:rsid w:val="005E1BC4"/>
    <w:rsid w:val="005E1D08"/>
    <w:rsid w:val="005E1DAE"/>
    <w:rsid w:val="005E20D3"/>
    <w:rsid w:val="005E211C"/>
    <w:rsid w:val="005E2293"/>
    <w:rsid w:val="005E229C"/>
    <w:rsid w:val="005E2504"/>
    <w:rsid w:val="005E2513"/>
    <w:rsid w:val="005E25CD"/>
    <w:rsid w:val="005E2760"/>
    <w:rsid w:val="005E27D2"/>
    <w:rsid w:val="005E2984"/>
    <w:rsid w:val="005E29A7"/>
    <w:rsid w:val="005E2ADA"/>
    <w:rsid w:val="005E2C69"/>
    <w:rsid w:val="005E301A"/>
    <w:rsid w:val="005E301E"/>
    <w:rsid w:val="005E3268"/>
    <w:rsid w:val="005E3280"/>
    <w:rsid w:val="005E336F"/>
    <w:rsid w:val="005E3386"/>
    <w:rsid w:val="005E3CB5"/>
    <w:rsid w:val="005E3E64"/>
    <w:rsid w:val="005E3F9F"/>
    <w:rsid w:val="005E3FD8"/>
    <w:rsid w:val="005E43CE"/>
    <w:rsid w:val="005E460C"/>
    <w:rsid w:val="005E485F"/>
    <w:rsid w:val="005E486B"/>
    <w:rsid w:val="005E4A16"/>
    <w:rsid w:val="005E4BDA"/>
    <w:rsid w:val="005E4E10"/>
    <w:rsid w:val="005E4E18"/>
    <w:rsid w:val="005E4FE2"/>
    <w:rsid w:val="005E50B1"/>
    <w:rsid w:val="005E536D"/>
    <w:rsid w:val="005E542E"/>
    <w:rsid w:val="005E546A"/>
    <w:rsid w:val="005E5532"/>
    <w:rsid w:val="005E5611"/>
    <w:rsid w:val="005E5DEA"/>
    <w:rsid w:val="005E5DF0"/>
    <w:rsid w:val="005E5E40"/>
    <w:rsid w:val="005E5F64"/>
    <w:rsid w:val="005E5F66"/>
    <w:rsid w:val="005E62CA"/>
    <w:rsid w:val="005E6454"/>
    <w:rsid w:val="005E6642"/>
    <w:rsid w:val="005E66CB"/>
    <w:rsid w:val="005E6F6B"/>
    <w:rsid w:val="005E6FD1"/>
    <w:rsid w:val="005E70E0"/>
    <w:rsid w:val="005E70FC"/>
    <w:rsid w:val="005E7220"/>
    <w:rsid w:val="005E7658"/>
    <w:rsid w:val="005E7706"/>
    <w:rsid w:val="005E7811"/>
    <w:rsid w:val="005E792A"/>
    <w:rsid w:val="005E7A9F"/>
    <w:rsid w:val="005E7E0A"/>
    <w:rsid w:val="005F02AB"/>
    <w:rsid w:val="005F02F0"/>
    <w:rsid w:val="005F033D"/>
    <w:rsid w:val="005F03B7"/>
    <w:rsid w:val="005F0656"/>
    <w:rsid w:val="005F0905"/>
    <w:rsid w:val="005F0A89"/>
    <w:rsid w:val="005F0AA4"/>
    <w:rsid w:val="005F0C82"/>
    <w:rsid w:val="005F0D73"/>
    <w:rsid w:val="005F0D9B"/>
    <w:rsid w:val="005F0F3C"/>
    <w:rsid w:val="005F117A"/>
    <w:rsid w:val="005F1237"/>
    <w:rsid w:val="005F136E"/>
    <w:rsid w:val="005F16C0"/>
    <w:rsid w:val="005F16C7"/>
    <w:rsid w:val="005F188C"/>
    <w:rsid w:val="005F1A8B"/>
    <w:rsid w:val="005F1A9A"/>
    <w:rsid w:val="005F1AAE"/>
    <w:rsid w:val="005F1BD0"/>
    <w:rsid w:val="005F1C92"/>
    <w:rsid w:val="005F1DEE"/>
    <w:rsid w:val="005F201E"/>
    <w:rsid w:val="005F21C1"/>
    <w:rsid w:val="005F2595"/>
    <w:rsid w:val="005F2736"/>
    <w:rsid w:val="005F276D"/>
    <w:rsid w:val="005F29E7"/>
    <w:rsid w:val="005F2DE3"/>
    <w:rsid w:val="005F2E2A"/>
    <w:rsid w:val="005F3146"/>
    <w:rsid w:val="005F3273"/>
    <w:rsid w:val="005F35D1"/>
    <w:rsid w:val="005F3732"/>
    <w:rsid w:val="005F38D0"/>
    <w:rsid w:val="005F3D91"/>
    <w:rsid w:val="005F3F49"/>
    <w:rsid w:val="005F3F7A"/>
    <w:rsid w:val="005F3FAA"/>
    <w:rsid w:val="005F3FDB"/>
    <w:rsid w:val="005F40A0"/>
    <w:rsid w:val="005F4427"/>
    <w:rsid w:val="005F457C"/>
    <w:rsid w:val="005F4683"/>
    <w:rsid w:val="005F47FE"/>
    <w:rsid w:val="005F4803"/>
    <w:rsid w:val="005F488E"/>
    <w:rsid w:val="005F4924"/>
    <w:rsid w:val="005F498F"/>
    <w:rsid w:val="005F4BA5"/>
    <w:rsid w:val="005F4BC9"/>
    <w:rsid w:val="005F505B"/>
    <w:rsid w:val="005F509C"/>
    <w:rsid w:val="005F5198"/>
    <w:rsid w:val="005F51E5"/>
    <w:rsid w:val="005F5371"/>
    <w:rsid w:val="005F5441"/>
    <w:rsid w:val="005F55FE"/>
    <w:rsid w:val="005F5649"/>
    <w:rsid w:val="005F5876"/>
    <w:rsid w:val="005F59C1"/>
    <w:rsid w:val="005F59EA"/>
    <w:rsid w:val="005F5CCA"/>
    <w:rsid w:val="005F6064"/>
    <w:rsid w:val="005F607A"/>
    <w:rsid w:val="005F6215"/>
    <w:rsid w:val="005F6221"/>
    <w:rsid w:val="005F64ED"/>
    <w:rsid w:val="005F6588"/>
    <w:rsid w:val="005F661D"/>
    <w:rsid w:val="005F6700"/>
    <w:rsid w:val="005F6822"/>
    <w:rsid w:val="005F6A41"/>
    <w:rsid w:val="005F6B0A"/>
    <w:rsid w:val="005F6BBA"/>
    <w:rsid w:val="005F70E1"/>
    <w:rsid w:val="005F7247"/>
    <w:rsid w:val="005F7286"/>
    <w:rsid w:val="005F733E"/>
    <w:rsid w:val="005F7552"/>
    <w:rsid w:val="005F7752"/>
    <w:rsid w:val="005F775E"/>
    <w:rsid w:val="005F795F"/>
    <w:rsid w:val="005F79C3"/>
    <w:rsid w:val="005F7A3E"/>
    <w:rsid w:val="005F7BC6"/>
    <w:rsid w:val="005F7C72"/>
    <w:rsid w:val="005F7F7C"/>
    <w:rsid w:val="00600154"/>
    <w:rsid w:val="00600181"/>
    <w:rsid w:val="00600227"/>
    <w:rsid w:val="00600243"/>
    <w:rsid w:val="00600398"/>
    <w:rsid w:val="006006CA"/>
    <w:rsid w:val="00600777"/>
    <w:rsid w:val="0060088E"/>
    <w:rsid w:val="00600B23"/>
    <w:rsid w:val="00600B4D"/>
    <w:rsid w:val="00600ED4"/>
    <w:rsid w:val="00600ED6"/>
    <w:rsid w:val="00601086"/>
    <w:rsid w:val="006010BC"/>
    <w:rsid w:val="00601271"/>
    <w:rsid w:val="006012D8"/>
    <w:rsid w:val="006013E8"/>
    <w:rsid w:val="00601415"/>
    <w:rsid w:val="00601531"/>
    <w:rsid w:val="006017FB"/>
    <w:rsid w:val="006019D6"/>
    <w:rsid w:val="006019E4"/>
    <w:rsid w:val="006019F3"/>
    <w:rsid w:val="00601CC6"/>
    <w:rsid w:val="00601D85"/>
    <w:rsid w:val="00601F86"/>
    <w:rsid w:val="0060249F"/>
    <w:rsid w:val="00602691"/>
    <w:rsid w:val="006027AC"/>
    <w:rsid w:val="00602839"/>
    <w:rsid w:val="0060288A"/>
    <w:rsid w:val="006029E6"/>
    <w:rsid w:val="00602D99"/>
    <w:rsid w:val="00602E08"/>
    <w:rsid w:val="00602F82"/>
    <w:rsid w:val="0060310A"/>
    <w:rsid w:val="00603222"/>
    <w:rsid w:val="006032A7"/>
    <w:rsid w:val="00603339"/>
    <w:rsid w:val="00603440"/>
    <w:rsid w:val="00603589"/>
    <w:rsid w:val="006035BD"/>
    <w:rsid w:val="00603741"/>
    <w:rsid w:val="006038EE"/>
    <w:rsid w:val="00603A38"/>
    <w:rsid w:val="00603B4F"/>
    <w:rsid w:val="00603B72"/>
    <w:rsid w:val="00603BD5"/>
    <w:rsid w:val="00603C3C"/>
    <w:rsid w:val="00603E07"/>
    <w:rsid w:val="00603E93"/>
    <w:rsid w:val="00603EEA"/>
    <w:rsid w:val="006040F3"/>
    <w:rsid w:val="00604260"/>
    <w:rsid w:val="006042EE"/>
    <w:rsid w:val="006047D7"/>
    <w:rsid w:val="00604892"/>
    <w:rsid w:val="00604B77"/>
    <w:rsid w:val="00604B8B"/>
    <w:rsid w:val="00604EA3"/>
    <w:rsid w:val="00604EF3"/>
    <w:rsid w:val="006050A6"/>
    <w:rsid w:val="006050E4"/>
    <w:rsid w:val="00605415"/>
    <w:rsid w:val="006055D4"/>
    <w:rsid w:val="00605664"/>
    <w:rsid w:val="006056D2"/>
    <w:rsid w:val="00605AAE"/>
    <w:rsid w:val="00605BDC"/>
    <w:rsid w:val="00605E92"/>
    <w:rsid w:val="00605FA8"/>
    <w:rsid w:val="00606365"/>
    <w:rsid w:val="006065A9"/>
    <w:rsid w:val="006066B7"/>
    <w:rsid w:val="0060698C"/>
    <w:rsid w:val="00606AA5"/>
    <w:rsid w:val="00606BEE"/>
    <w:rsid w:val="006070E0"/>
    <w:rsid w:val="00607545"/>
    <w:rsid w:val="00607551"/>
    <w:rsid w:val="006075A6"/>
    <w:rsid w:val="006078FA"/>
    <w:rsid w:val="0060793B"/>
    <w:rsid w:val="006079A8"/>
    <w:rsid w:val="00607B99"/>
    <w:rsid w:val="00607E00"/>
    <w:rsid w:val="00607FA7"/>
    <w:rsid w:val="006102E9"/>
    <w:rsid w:val="00610446"/>
    <w:rsid w:val="006104DE"/>
    <w:rsid w:val="0061071E"/>
    <w:rsid w:val="0061074E"/>
    <w:rsid w:val="00610AD3"/>
    <w:rsid w:val="00610B9B"/>
    <w:rsid w:val="00610BAB"/>
    <w:rsid w:val="00610E1A"/>
    <w:rsid w:val="006110BE"/>
    <w:rsid w:val="006111E9"/>
    <w:rsid w:val="0061139A"/>
    <w:rsid w:val="006113F2"/>
    <w:rsid w:val="0061197B"/>
    <w:rsid w:val="006119AE"/>
    <w:rsid w:val="00611B4C"/>
    <w:rsid w:val="00611B72"/>
    <w:rsid w:val="00611EEB"/>
    <w:rsid w:val="0061204A"/>
    <w:rsid w:val="006122C8"/>
    <w:rsid w:val="00612301"/>
    <w:rsid w:val="00612532"/>
    <w:rsid w:val="00612568"/>
    <w:rsid w:val="00612575"/>
    <w:rsid w:val="00612A10"/>
    <w:rsid w:val="00612A96"/>
    <w:rsid w:val="00612AA5"/>
    <w:rsid w:val="00612BC0"/>
    <w:rsid w:val="00612F23"/>
    <w:rsid w:val="006130DC"/>
    <w:rsid w:val="00613109"/>
    <w:rsid w:val="006133F6"/>
    <w:rsid w:val="00613565"/>
    <w:rsid w:val="006135E2"/>
    <w:rsid w:val="0061389C"/>
    <w:rsid w:val="00613AA4"/>
    <w:rsid w:val="00613B4B"/>
    <w:rsid w:val="00613C93"/>
    <w:rsid w:val="00613D70"/>
    <w:rsid w:val="00613DE5"/>
    <w:rsid w:val="006141F3"/>
    <w:rsid w:val="0061421A"/>
    <w:rsid w:val="00614384"/>
    <w:rsid w:val="00614569"/>
    <w:rsid w:val="00614598"/>
    <w:rsid w:val="00614601"/>
    <w:rsid w:val="00614891"/>
    <w:rsid w:val="006149B4"/>
    <w:rsid w:val="00614C1F"/>
    <w:rsid w:val="00614D47"/>
    <w:rsid w:val="00614EC8"/>
    <w:rsid w:val="00615180"/>
    <w:rsid w:val="00615224"/>
    <w:rsid w:val="006155A3"/>
    <w:rsid w:val="0061562D"/>
    <w:rsid w:val="00615849"/>
    <w:rsid w:val="006159DA"/>
    <w:rsid w:val="00615A77"/>
    <w:rsid w:val="00615F16"/>
    <w:rsid w:val="006161D2"/>
    <w:rsid w:val="00616249"/>
    <w:rsid w:val="0061665B"/>
    <w:rsid w:val="006167B4"/>
    <w:rsid w:val="006167ED"/>
    <w:rsid w:val="006168CE"/>
    <w:rsid w:val="006169A2"/>
    <w:rsid w:val="00616A7B"/>
    <w:rsid w:val="00616B20"/>
    <w:rsid w:val="00616D62"/>
    <w:rsid w:val="00616D7D"/>
    <w:rsid w:val="00617142"/>
    <w:rsid w:val="00617143"/>
    <w:rsid w:val="0061740F"/>
    <w:rsid w:val="00617579"/>
    <w:rsid w:val="006175A3"/>
    <w:rsid w:val="00617731"/>
    <w:rsid w:val="0061780D"/>
    <w:rsid w:val="00617A21"/>
    <w:rsid w:val="00617CA4"/>
    <w:rsid w:val="00617D6F"/>
    <w:rsid w:val="00617F52"/>
    <w:rsid w:val="0062010A"/>
    <w:rsid w:val="006201CB"/>
    <w:rsid w:val="00620245"/>
    <w:rsid w:val="006202B8"/>
    <w:rsid w:val="006202C6"/>
    <w:rsid w:val="00620403"/>
    <w:rsid w:val="006204E6"/>
    <w:rsid w:val="006207AA"/>
    <w:rsid w:val="0062098B"/>
    <w:rsid w:val="00620A05"/>
    <w:rsid w:val="00620A4D"/>
    <w:rsid w:val="00620B31"/>
    <w:rsid w:val="00620D1F"/>
    <w:rsid w:val="00621296"/>
    <w:rsid w:val="006215C0"/>
    <w:rsid w:val="00621702"/>
    <w:rsid w:val="00621733"/>
    <w:rsid w:val="00621765"/>
    <w:rsid w:val="00621780"/>
    <w:rsid w:val="00621919"/>
    <w:rsid w:val="00621928"/>
    <w:rsid w:val="00621A37"/>
    <w:rsid w:val="00621A8D"/>
    <w:rsid w:val="00621AB4"/>
    <w:rsid w:val="00621BA6"/>
    <w:rsid w:val="00621DC2"/>
    <w:rsid w:val="00621DD5"/>
    <w:rsid w:val="006221E7"/>
    <w:rsid w:val="00622353"/>
    <w:rsid w:val="006228A8"/>
    <w:rsid w:val="00622923"/>
    <w:rsid w:val="00622C64"/>
    <w:rsid w:val="00622D01"/>
    <w:rsid w:val="00622D9F"/>
    <w:rsid w:val="00622E94"/>
    <w:rsid w:val="00622EA5"/>
    <w:rsid w:val="00622F72"/>
    <w:rsid w:val="00623024"/>
    <w:rsid w:val="00623895"/>
    <w:rsid w:val="00623A75"/>
    <w:rsid w:val="00623D47"/>
    <w:rsid w:val="00623EC1"/>
    <w:rsid w:val="00623FA1"/>
    <w:rsid w:val="00623FD0"/>
    <w:rsid w:val="006240B1"/>
    <w:rsid w:val="006242B6"/>
    <w:rsid w:val="00624369"/>
    <w:rsid w:val="0062471C"/>
    <w:rsid w:val="00624839"/>
    <w:rsid w:val="0062488F"/>
    <w:rsid w:val="00624A05"/>
    <w:rsid w:val="00624AA1"/>
    <w:rsid w:val="00624B5C"/>
    <w:rsid w:val="00624C3B"/>
    <w:rsid w:val="00624EFA"/>
    <w:rsid w:val="006252EE"/>
    <w:rsid w:val="00625591"/>
    <w:rsid w:val="00625606"/>
    <w:rsid w:val="00625A6E"/>
    <w:rsid w:val="00625C0F"/>
    <w:rsid w:val="00625E94"/>
    <w:rsid w:val="00626045"/>
    <w:rsid w:val="00626096"/>
    <w:rsid w:val="006260B8"/>
    <w:rsid w:val="00626243"/>
    <w:rsid w:val="0062627F"/>
    <w:rsid w:val="006263C2"/>
    <w:rsid w:val="006263D5"/>
    <w:rsid w:val="006266CA"/>
    <w:rsid w:val="00626761"/>
    <w:rsid w:val="00626A34"/>
    <w:rsid w:val="00626A99"/>
    <w:rsid w:val="00626D07"/>
    <w:rsid w:val="00626DC6"/>
    <w:rsid w:val="00626EF6"/>
    <w:rsid w:val="006270A1"/>
    <w:rsid w:val="006270F2"/>
    <w:rsid w:val="006271B8"/>
    <w:rsid w:val="006274E8"/>
    <w:rsid w:val="006275B9"/>
    <w:rsid w:val="00627A53"/>
    <w:rsid w:val="00627C9D"/>
    <w:rsid w:val="00630378"/>
    <w:rsid w:val="00630C01"/>
    <w:rsid w:val="00630EE9"/>
    <w:rsid w:val="006310FA"/>
    <w:rsid w:val="006314A9"/>
    <w:rsid w:val="00631573"/>
    <w:rsid w:val="00631670"/>
    <w:rsid w:val="00631695"/>
    <w:rsid w:val="00631816"/>
    <w:rsid w:val="006318B3"/>
    <w:rsid w:val="00631BF8"/>
    <w:rsid w:val="00631D3A"/>
    <w:rsid w:val="00632052"/>
    <w:rsid w:val="00632301"/>
    <w:rsid w:val="00632458"/>
    <w:rsid w:val="0063296D"/>
    <w:rsid w:val="00632AAD"/>
    <w:rsid w:val="00632DC7"/>
    <w:rsid w:val="00632FB2"/>
    <w:rsid w:val="006336C6"/>
    <w:rsid w:val="006337D9"/>
    <w:rsid w:val="006339F5"/>
    <w:rsid w:val="00633B8E"/>
    <w:rsid w:val="00633D52"/>
    <w:rsid w:val="0063411F"/>
    <w:rsid w:val="00634270"/>
    <w:rsid w:val="006343F7"/>
    <w:rsid w:val="00634403"/>
    <w:rsid w:val="00634492"/>
    <w:rsid w:val="00634758"/>
    <w:rsid w:val="006349D7"/>
    <w:rsid w:val="00634D4B"/>
    <w:rsid w:val="00634DCD"/>
    <w:rsid w:val="00634E23"/>
    <w:rsid w:val="00634F6A"/>
    <w:rsid w:val="00634F84"/>
    <w:rsid w:val="00635066"/>
    <w:rsid w:val="0063531F"/>
    <w:rsid w:val="006353E6"/>
    <w:rsid w:val="00635409"/>
    <w:rsid w:val="00635458"/>
    <w:rsid w:val="0063562B"/>
    <w:rsid w:val="00635641"/>
    <w:rsid w:val="0063585F"/>
    <w:rsid w:val="00635A9F"/>
    <w:rsid w:val="00635D05"/>
    <w:rsid w:val="00636111"/>
    <w:rsid w:val="006362C2"/>
    <w:rsid w:val="006363DA"/>
    <w:rsid w:val="006364BF"/>
    <w:rsid w:val="0063657E"/>
    <w:rsid w:val="00636659"/>
    <w:rsid w:val="0063696F"/>
    <w:rsid w:val="00636AE0"/>
    <w:rsid w:val="00636D89"/>
    <w:rsid w:val="00637153"/>
    <w:rsid w:val="006373E4"/>
    <w:rsid w:val="00637506"/>
    <w:rsid w:val="0063771E"/>
    <w:rsid w:val="00637858"/>
    <w:rsid w:val="0063787C"/>
    <w:rsid w:val="00637911"/>
    <w:rsid w:val="006379CA"/>
    <w:rsid w:val="00637AF0"/>
    <w:rsid w:val="00637C0C"/>
    <w:rsid w:val="00637DF2"/>
    <w:rsid w:val="00637E08"/>
    <w:rsid w:val="00637EEE"/>
    <w:rsid w:val="00637FAC"/>
    <w:rsid w:val="00637FB1"/>
    <w:rsid w:val="00640234"/>
    <w:rsid w:val="00640275"/>
    <w:rsid w:val="0064042C"/>
    <w:rsid w:val="0064058A"/>
    <w:rsid w:val="00640593"/>
    <w:rsid w:val="0064069B"/>
    <w:rsid w:val="00640B2B"/>
    <w:rsid w:val="00640B77"/>
    <w:rsid w:val="00641293"/>
    <w:rsid w:val="00641798"/>
    <w:rsid w:val="00641921"/>
    <w:rsid w:val="0064196E"/>
    <w:rsid w:val="006419F8"/>
    <w:rsid w:val="00641D1B"/>
    <w:rsid w:val="00641D23"/>
    <w:rsid w:val="00641D9E"/>
    <w:rsid w:val="00641E28"/>
    <w:rsid w:val="00641F1D"/>
    <w:rsid w:val="00641FA5"/>
    <w:rsid w:val="00642174"/>
    <w:rsid w:val="006421C8"/>
    <w:rsid w:val="00642278"/>
    <w:rsid w:val="00642349"/>
    <w:rsid w:val="006423A1"/>
    <w:rsid w:val="006423F8"/>
    <w:rsid w:val="00642628"/>
    <w:rsid w:val="006426AB"/>
    <w:rsid w:val="006426C0"/>
    <w:rsid w:val="006428B7"/>
    <w:rsid w:val="006428C7"/>
    <w:rsid w:val="006429AA"/>
    <w:rsid w:val="00642A77"/>
    <w:rsid w:val="00642D20"/>
    <w:rsid w:val="00642E3E"/>
    <w:rsid w:val="00642E68"/>
    <w:rsid w:val="00642F9C"/>
    <w:rsid w:val="00643190"/>
    <w:rsid w:val="006431A5"/>
    <w:rsid w:val="006435F3"/>
    <w:rsid w:val="00643679"/>
    <w:rsid w:val="00643802"/>
    <w:rsid w:val="006438A7"/>
    <w:rsid w:val="00643BF8"/>
    <w:rsid w:val="00643DFD"/>
    <w:rsid w:val="00643E53"/>
    <w:rsid w:val="00643E68"/>
    <w:rsid w:val="00643F21"/>
    <w:rsid w:val="00643FAE"/>
    <w:rsid w:val="0064434A"/>
    <w:rsid w:val="006445F4"/>
    <w:rsid w:val="006446FC"/>
    <w:rsid w:val="00644D90"/>
    <w:rsid w:val="0064504A"/>
    <w:rsid w:val="006453CC"/>
    <w:rsid w:val="0064542A"/>
    <w:rsid w:val="006454DF"/>
    <w:rsid w:val="0064559E"/>
    <w:rsid w:val="006456F1"/>
    <w:rsid w:val="00645758"/>
    <w:rsid w:val="0064594F"/>
    <w:rsid w:val="00645A27"/>
    <w:rsid w:val="00645C98"/>
    <w:rsid w:val="00645D56"/>
    <w:rsid w:val="00645E62"/>
    <w:rsid w:val="00645FB3"/>
    <w:rsid w:val="006462D7"/>
    <w:rsid w:val="00646448"/>
    <w:rsid w:val="00646637"/>
    <w:rsid w:val="006469A8"/>
    <w:rsid w:val="00646AB2"/>
    <w:rsid w:val="00646AF3"/>
    <w:rsid w:val="00646AF8"/>
    <w:rsid w:val="00646BE1"/>
    <w:rsid w:val="00646CD6"/>
    <w:rsid w:val="00646D59"/>
    <w:rsid w:val="00646DA9"/>
    <w:rsid w:val="00646E55"/>
    <w:rsid w:val="00647096"/>
    <w:rsid w:val="006471F9"/>
    <w:rsid w:val="006473D2"/>
    <w:rsid w:val="0064748C"/>
    <w:rsid w:val="006476D3"/>
    <w:rsid w:val="0064788E"/>
    <w:rsid w:val="00647AA2"/>
    <w:rsid w:val="00647DAE"/>
    <w:rsid w:val="00647EE9"/>
    <w:rsid w:val="00647F95"/>
    <w:rsid w:val="00650053"/>
    <w:rsid w:val="0065012F"/>
    <w:rsid w:val="00650231"/>
    <w:rsid w:val="00650459"/>
    <w:rsid w:val="00650A2E"/>
    <w:rsid w:val="00650B00"/>
    <w:rsid w:val="00650BAD"/>
    <w:rsid w:val="00650C17"/>
    <w:rsid w:val="00650C47"/>
    <w:rsid w:val="00650E0D"/>
    <w:rsid w:val="00651363"/>
    <w:rsid w:val="006513FB"/>
    <w:rsid w:val="0065157C"/>
    <w:rsid w:val="006515D5"/>
    <w:rsid w:val="00651AE0"/>
    <w:rsid w:val="00651E48"/>
    <w:rsid w:val="00651F91"/>
    <w:rsid w:val="00652140"/>
    <w:rsid w:val="00652607"/>
    <w:rsid w:val="00652733"/>
    <w:rsid w:val="006528AA"/>
    <w:rsid w:val="00652918"/>
    <w:rsid w:val="00652989"/>
    <w:rsid w:val="00652C77"/>
    <w:rsid w:val="00652CD9"/>
    <w:rsid w:val="0065314B"/>
    <w:rsid w:val="00653165"/>
    <w:rsid w:val="00653290"/>
    <w:rsid w:val="006534A6"/>
    <w:rsid w:val="006534D3"/>
    <w:rsid w:val="00653CFC"/>
    <w:rsid w:val="00653F23"/>
    <w:rsid w:val="00654062"/>
    <w:rsid w:val="00654117"/>
    <w:rsid w:val="006544BA"/>
    <w:rsid w:val="006545ED"/>
    <w:rsid w:val="0065483B"/>
    <w:rsid w:val="00654F89"/>
    <w:rsid w:val="00654FC5"/>
    <w:rsid w:val="006553B4"/>
    <w:rsid w:val="00655408"/>
    <w:rsid w:val="00655812"/>
    <w:rsid w:val="00655C4E"/>
    <w:rsid w:val="00655CEF"/>
    <w:rsid w:val="00655EF7"/>
    <w:rsid w:val="00656179"/>
    <w:rsid w:val="006562D4"/>
    <w:rsid w:val="006563DE"/>
    <w:rsid w:val="006563F1"/>
    <w:rsid w:val="0065647C"/>
    <w:rsid w:val="00656599"/>
    <w:rsid w:val="006566FF"/>
    <w:rsid w:val="00656B88"/>
    <w:rsid w:val="00656D6A"/>
    <w:rsid w:val="00656DFA"/>
    <w:rsid w:val="00656E43"/>
    <w:rsid w:val="006571F8"/>
    <w:rsid w:val="00657255"/>
    <w:rsid w:val="00657368"/>
    <w:rsid w:val="0065739E"/>
    <w:rsid w:val="006573E5"/>
    <w:rsid w:val="00657522"/>
    <w:rsid w:val="006577E8"/>
    <w:rsid w:val="006577FD"/>
    <w:rsid w:val="00657810"/>
    <w:rsid w:val="0065796B"/>
    <w:rsid w:val="00657983"/>
    <w:rsid w:val="00657B7A"/>
    <w:rsid w:val="00660102"/>
    <w:rsid w:val="00660149"/>
    <w:rsid w:val="00660345"/>
    <w:rsid w:val="00660484"/>
    <w:rsid w:val="00660534"/>
    <w:rsid w:val="006606A9"/>
    <w:rsid w:val="00661496"/>
    <w:rsid w:val="0066183F"/>
    <w:rsid w:val="006619AF"/>
    <w:rsid w:val="00661A56"/>
    <w:rsid w:val="00661B1C"/>
    <w:rsid w:val="00661C13"/>
    <w:rsid w:val="00661DFC"/>
    <w:rsid w:val="00661FE0"/>
    <w:rsid w:val="0066201F"/>
    <w:rsid w:val="006621B8"/>
    <w:rsid w:val="006624EC"/>
    <w:rsid w:val="00662500"/>
    <w:rsid w:val="0066298E"/>
    <w:rsid w:val="006629BB"/>
    <w:rsid w:val="00662B14"/>
    <w:rsid w:val="00662C43"/>
    <w:rsid w:val="00662C9E"/>
    <w:rsid w:val="00662CF8"/>
    <w:rsid w:val="00662D7A"/>
    <w:rsid w:val="00662DD4"/>
    <w:rsid w:val="00662FFB"/>
    <w:rsid w:val="00663238"/>
    <w:rsid w:val="00663253"/>
    <w:rsid w:val="00663326"/>
    <w:rsid w:val="006635E5"/>
    <w:rsid w:val="0066378A"/>
    <w:rsid w:val="00663896"/>
    <w:rsid w:val="006639C6"/>
    <w:rsid w:val="006639D1"/>
    <w:rsid w:val="00663AD9"/>
    <w:rsid w:val="00663C52"/>
    <w:rsid w:val="00663F68"/>
    <w:rsid w:val="00663FBB"/>
    <w:rsid w:val="0066406A"/>
    <w:rsid w:val="006641BB"/>
    <w:rsid w:val="00664ABC"/>
    <w:rsid w:val="00664B1D"/>
    <w:rsid w:val="00664B1E"/>
    <w:rsid w:val="00664B91"/>
    <w:rsid w:val="00664D84"/>
    <w:rsid w:val="00664DD3"/>
    <w:rsid w:val="00665099"/>
    <w:rsid w:val="00665355"/>
    <w:rsid w:val="00665644"/>
    <w:rsid w:val="00666114"/>
    <w:rsid w:val="006661EC"/>
    <w:rsid w:val="0066622E"/>
    <w:rsid w:val="006662E9"/>
    <w:rsid w:val="00666550"/>
    <w:rsid w:val="00666560"/>
    <w:rsid w:val="006665D7"/>
    <w:rsid w:val="0066670C"/>
    <w:rsid w:val="00666964"/>
    <w:rsid w:val="00666E0B"/>
    <w:rsid w:val="00666E4A"/>
    <w:rsid w:val="00666EAC"/>
    <w:rsid w:val="006670F7"/>
    <w:rsid w:val="006674F6"/>
    <w:rsid w:val="00667545"/>
    <w:rsid w:val="0066754B"/>
    <w:rsid w:val="0066754F"/>
    <w:rsid w:val="00667A84"/>
    <w:rsid w:val="00667D43"/>
    <w:rsid w:val="00667DD2"/>
    <w:rsid w:val="00667E9B"/>
    <w:rsid w:val="00667FA8"/>
    <w:rsid w:val="006701DA"/>
    <w:rsid w:val="00670543"/>
    <w:rsid w:val="0067078C"/>
    <w:rsid w:val="006707F8"/>
    <w:rsid w:val="0067094C"/>
    <w:rsid w:val="00670B18"/>
    <w:rsid w:val="00670C59"/>
    <w:rsid w:val="00670E1B"/>
    <w:rsid w:val="00670EF3"/>
    <w:rsid w:val="00671538"/>
    <w:rsid w:val="00671739"/>
    <w:rsid w:val="006718AE"/>
    <w:rsid w:val="00671E01"/>
    <w:rsid w:val="00671E98"/>
    <w:rsid w:val="00671F47"/>
    <w:rsid w:val="00671F4E"/>
    <w:rsid w:val="00672263"/>
    <w:rsid w:val="00672307"/>
    <w:rsid w:val="0067230F"/>
    <w:rsid w:val="0067236F"/>
    <w:rsid w:val="006723DE"/>
    <w:rsid w:val="0067257E"/>
    <w:rsid w:val="00672704"/>
    <w:rsid w:val="0067270E"/>
    <w:rsid w:val="006729EF"/>
    <w:rsid w:val="00672CCA"/>
    <w:rsid w:val="00672D2D"/>
    <w:rsid w:val="00672F18"/>
    <w:rsid w:val="00673200"/>
    <w:rsid w:val="00673285"/>
    <w:rsid w:val="0067329E"/>
    <w:rsid w:val="006732D4"/>
    <w:rsid w:val="006736C3"/>
    <w:rsid w:val="00673AD0"/>
    <w:rsid w:val="00673B20"/>
    <w:rsid w:val="00673C32"/>
    <w:rsid w:val="00673C3C"/>
    <w:rsid w:val="00673DCF"/>
    <w:rsid w:val="00674013"/>
    <w:rsid w:val="0067427C"/>
    <w:rsid w:val="006742DE"/>
    <w:rsid w:val="0067442A"/>
    <w:rsid w:val="0067452E"/>
    <w:rsid w:val="006746F8"/>
    <w:rsid w:val="006746FA"/>
    <w:rsid w:val="00674A95"/>
    <w:rsid w:val="00674A96"/>
    <w:rsid w:val="00674D4B"/>
    <w:rsid w:val="00674D85"/>
    <w:rsid w:val="00674EDD"/>
    <w:rsid w:val="0067508B"/>
    <w:rsid w:val="00675284"/>
    <w:rsid w:val="006752CE"/>
    <w:rsid w:val="006753A2"/>
    <w:rsid w:val="006753AE"/>
    <w:rsid w:val="00675544"/>
    <w:rsid w:val="00675779"/>
    <w:rsid w:val="00675896"/>
    <w:rsid w:val="006759B9"/>
    <w:rsid w:val="00675ABA"/>
    <w:rsid w:val="00675ABB"/>
    <w:rsid w:val="00675D71"/>
    <w:rsid w:val="00675E0E"/>
    <w:rsid w:val="00675EC7"/>
    <w:rsid w:val="00675FF6"/>
    <w:rsid w:val="00676056"/>
    <w:rsid w:val="0067623D"/>
    <w:rsid w:val="00676307"/>
    <w:rsid w:val="00676332"/>
    <w:rsid w:val="0067665E"/>
    <w:rsid w:val="006766C1"/>
    <w:rsid w:val="00676AE1"/>
    <w:rsid w:val="00676BAF"/>
    <w:rsid w:val="00676C93"/>
    <w:rsid w:val="00676DE3"/>
    <w:rsid w:val="00677205"/>
    <w:rsid w:val="0067751F"/>
    <w:rsid w:val="00677574"/>
    <w:rsid w:val="006775D3"/>
    <w:rsid w:val="00677A76"/>
    <w:rsid w:val="00677CC3"/>
    <w:rsid w:val="0068012C"/>
    <w:rsid w:val="00680272"/>
    <w:rsid w:val="006802D0"/>
    <w:rsid w:val="006802D5"/>
    <w:rsid w:val="0068039D"/>
    <w:rsid w:val="006806B6"/>
    <w:rsid w:val="0068074B"/>
    <w:rsid w:val="0068085E"/>
    <w:rsid w:val="00680924"/>
    <w:rsid w:val="0068092C"/>
    <w:rsid w:val="006809E6"/>
    <w:rsid w:val="00680ABB"/>
    <w:rsid w:val="00680BDA"/>
    <w:rsid w:val="00680CBE"/>
    <w:rsid w:val="006811D2"/>
    <w:rsid w:val="006811E7"/>
    <w:rsid w:val="00681262"/>
    <w:rsid w:val="0068126E"/>
    <w:rsid w:val="00681283"/>
    <w:rsid w:val="00681310"/>
    <w:rsid w:val="00681334"/>
    <w:rsid w:val="00681471"/>
    <w:rsid w:val="0068182F"/>
    <w:rsid w:val="00681B45"/>
    <w:rsid w:val="00681EB1"/>
    <w:rsid w:val="00681FD5"/>
    <w:rsid w:val="006820D1"/>
    <w:rsid w:val="006823FB"/>
    <w:rsid w:val="006827A8"/>
    <w:rsid w:val="00682873"/>
    <w:rsid w:val="00682BBF"/>
    <w:rsid w:val="00682CCB"/>
    <w:rsid w:val="00682E65"/>
    <w:rsid w:val="00682E93"/>
    <w:rsid w:val="006830AE"/>
    <w:rsid w:val="00683110"/>
    <w:rsid w:val="00683386"/>
    <w:rsid w:val="0068371A"/>
    <w:rsid w:val="00683737"/>
    <w:rsid w:val="0068384F"/>
    <w:rsid w:val="00683856"/>
    <w:rsid w:val="00683993"/>
    <w:rsid w:val="00683A39"/>
    <w:rsid w:val="00683A9B"/>
    <w:rsid w:val="00683B4D"/>
    <w:rsid w:val="00683BD0"/>
    <w:rsid w:val="00683D58"/>
    <w:rsid w:val="00683F57"/>
    <w:rsid w:val="00683FC2"/>
    <w:rsid w:val="0068407B"/>
    <w:rsid w:val="006840E0"/>
    <w:rsid w:val="0068411F"/>
    <w:rsid w:val="0068462D"/>
    <w:rsid w:val="006846B3"/>
    <w:rsid w:val="00684741"/>
    <w:rsid w:val="006847D4"/>
    <w:rsid w:val="0068486A"/>
    <w:rsid w:val="00684871"/>
    <w:rsid w:val="006848FE"/>
    <w:rsid w:val="00684A1E"/>
    <w:rsid w:val="00684AC4"/>
    <w:rsid w:val="00684F42"/>
    <w:rsid w:val="00684F48"/>
    <w:rsid w:val="0068504D"/>
    <w:rsid w:val="006851E7"/>
    <w:rsid w:val="006852DC"/>
    <w:rsid w:val="006859A2"/>
    <w:rsid w:val="00685C59"/>
    <w:rsid w:val="00686103"/>
    <w:rsid w:val="006861D9"/>
    <w:rsid w:val="00686474"/>
    <w:rsid w:val="006864DB"/>
    <w:rsid w:val="00686610"/>
    <w:rsid w:val="0068661F"/>
    <w:rsid w:val="00686670"/>
    <w:rsid w:val="006866BF"/>
    <w:rsid w:val="00686715"/>
    <w:rsid w:val="006867A7"/>
    <w:rsid w:val="006868AB"/>
    <w:rsid w:val="006868DE"/>
    <w:rsid w:val="00686A21"/>
    <w:rsid w:val="00686A4D"/>
    <w:rsid w:val="00686E7C"/>
    <w:rsid w:val="006871D4"/>
    <w:rsid w:val="006871FF"/>
    <w:rsid w:val="00687371"/>
    <w:rsid w:val="00687415"/>
    <w:rsid w:val="00687866"/>
    <w:rsid w:val="006879BF"/>
    <w:rsid w:val="00687B73"/>
    <w:rsid w:val="00687F12"/>
    <w:rsid w:val="00687F3F"/>
    <w:rsid w:val="00690043"/>
    <w:rsid w:val="0069007E"/>
    <w:rsid w:val="0069039F"/>
    <w:rsid w:val="00690430"/>
    <w:rsid w:val="00690616"/>
    <w:rsid w:val="00690786"/>
    <w:rsid w:val="00690788"/>
    <w:rsid w:val="00690794"/>
    <w:rsid w:val="00690847"/>
    <w:rsid w:val="00690AC3"/>
    <w:rsid w:val="00690AE8"/>
    <w:rsid w:val="00690BEE"/>
    <w:rsid w:val="00690CC3"/>
    <w:rsid w:val="00690CD3"/>
    <w:rsid w:val="00690DBD"/>
    <w:rsid w:val="00690E00"/>
    <w:rsid w:val="0069153F"/>
    <w:rsid w:val="006915CF"/>
    <w:rsid w:val="00691ABF"/>
    <w:rsid w:val="00691BEE"/>
    <w:rsid w:val="00691C3A"/>
    <w:rsid w:val="00691D28"/>
    <w:rsid w:val="00691DFA"/>
    <w:rsid w:val="00691E26"/>
    <w:rsid w:val="00691ED2"/>
    <w:rsid w:val="0069203B"/>
    <w:rsid w:val="006921F1"/>
    <w:rsid w:val="0069225C"/>
    <w:rsid w:val="00692403"/>
    <w:rsid w:val="00692481"/>
    <w:rsid w:val="00692495"/>
    <w:rsid w:val="006925F8"/>
    <w:rsid w:val="00692E46"/>
    <w:rsid w:val="00692F0A"/>
    <w:rsid w:val="00693330"/>
    <w:rsid w:val="006933E6"/>
    <w:rsid w:val="0069345B"/>
    <w:rsid w:val="00693563"/>
    <w:rsid w:val="00693602"/>
    <w:rsid w:val="006937C9"/>
    <w:rsid w:val="006938A2"/>
    <w:rsid w:val="00693D21"/>
    <w:rsid w:val="00693DCB"/>
    <w:rsid w:val="00693ECD"/>
    <w:rsid w:val="00693F36"/>
    <w:rsid w:val="00694073"/>
    <w:rsid w:val="00694104"/>
    <w:rsid w:val="00694168"/>
    <w:rsid w:val="006941EC"/>
    <w:rsid w:val="006941FF"/>
    <w:rsid w:val="0069459F"/>
    <w:rsid w:val="006949ED"/>
    <w:rsid w:val="00694BE6"/>
    <w:rsid w:val="00694C36"/>
    <w:rsid w:val="00694C77"/>
    <w:rsid w:val="00694E37"/>
    <w:rsid w:val="00694FB3"/>
    <w:rsid w:val="006951E0"/>
    <w:rsid w:val="00695314"/>
    <w:rsid w:val="00695764"/>
    <w:rsid w:val="006957F2"/>
    <w:rsid w:val="00695938"/>
    <w:rsid w:val="00695AA7"/>
    <w:rsid w:val="00695ACE"/>
    <w:rsid w:val="00695B0D"/>
    <w:rsid w:val="00695C8A"/>
    <w:rsid w:val="00695FE2"/>
    <w:rsid w:val="00696140"/>
    <w:rsid w:val="006963E4"/>
    <w:rsid w:val="0069673C"/>
    <w:rsid w:val="00696917"/>
    <w:rsid w:val="00696933"/>
    <w:rsid w:val="00696A73"/>
    <w:rsid w:val="00696AA6"/>
    <w:rsid w:val="00696B5A"/>
    <w:rsid w:val="00696DC2"/>
    <w:rsid w:val="006973BA"/>
    <w:rsid w:val="00697401"/>
    <w:rsid w:val="006974A4"/>
    <w:rsid w:val="006978C3"/>
    <w:rsid w:val="006979B8"/>
    <w:rsid w:val="00697C74"/>
    <w:rsid w:val="006A049B"/>
    <w:rsid w:val="006A0570"/>
    <w:rsid w:val="006A06A2"/>
    <w:rsid w:val="006A09BC"/>
    <w:rsid w:val="006A0A50"/>
    <w:rsid w:val="006A0B1D"/>
    <w:rsid w:val="006A0C58"/>
    <w:rsid w:val="006A13D9"/>
    <w:rsid w:val="006A13DE"/>
    <w:rsid w:val="006A1548"/>
    <w:rsid w:val="006A156E"/>
    <w:rsid w:val="006A16D7"/>
    <w:rsid w:val="006A1753"/>
    <w:rsid w:val="006A1841"/>
    <w:rsid w:val="006A18B7"/>
    <w:rsid w:val="006A1931"/>
    <w:rsid w:val="006A210F"/>
    <w:rsid w:val="006A2420"/>
    <w:rsid w:val="006A2435"/>
    <w:rsid w:val="006A2450"/>
    <w:rsid w:val="006A2723"/>
    <w:rsid w:val="006A2981"/>
    <w:rsid w:val="006A29A9"/>
    <w:rsid w:val="006A2BD7"/>
    <w:rsid w:val="006A2CDE"/>
    <w:rsid w:val="006A300F"/>
    <w:rsid w:val="006A333A"/>
    <w:rsid w:val="006A349B"/>
    <w:rsid w:val="006A34E9"/>
    <w:rsid w:val="006A368A"/>
    <w:rsid w:val="006A3825"/>
    <w:rsid w:val="006A3EE6"/>
    <w:rsid w:val="006A4094"/>
    <w:rsid w:val="006A41A0"/>
    <w:rsid w:val="006A4326"/>
    <w:rsid w:val="006A438B"/>
    <w:rsid w:val="006A444C"/>
    <w:rsid w:val="006A45AC"/>
    <w:rsid w:val="006A461E"/>
    <w:rsid w:val="006A4779"/>
    <w:rsid w:val="006A4814"/>
    <w:rsid w:val="006A4993"/>
    <w:rsid w:val="006A4B30"/>
    <w:rsid w:val="006A4E2F"/>
    <w:rsid w:val="006A4E8A"/>
    <w:rsid w:val="006A4FA4"/>
    <w:rsid w:val="006A5001"/>
    <w:rsid w:val="006A518D"/>
    <w:rsid w:val="006A52CE"/>
    <w:rsid w:val="006A53E5"/>
    <w:rsid w:val="006A5647"/>
    <w:rsid w:val="006A58E0"/>
    <w:rsid w:val="006A5AB4"/>
    <w:rsid w:val="006A5E48"/>
    <w:rsid w:val="006A5ECB"/>
    <w:rsid w:val="006A5ED4"/>
    <w:rsid w:val="006A611D"/>
    <w:rsid w:val="006A642D"/>
    <w:rsid w:val="006A64C8"/>
    <w:rsid w:val="006A6580"/>
    <w:rsid w:val="006A6649"/>
    <w:rsid w:val="006A67D5"/>
    <w:rsid w:val="006A68F3"/>
    <w:rsid w:val="006A692A"/>
    <w:rsid w:val="006A69E6"/>
    <w:rsid w:val="006A6E7A"/>
    <w:rsid w:val="006A6F29"/>
    <w:rsid w:val="006A6F2F"/>
    <w:rsid w:val="006A6FAF"/>
    <w:rsid w:val="006A7119"/>
    <w:rsid w:val="006A732F"/>
    <w:rsid w:val="006A7625"/>
    <w:rsid w:val="006A781C"/>
    <w:rsid w:val="006A7C0B"/>
    <w:rsid w:val="006A7DA1"/>
    <w:rsid w:val="006A7DA9"/>
    <w:rsid w:val="006A7F14"/>
    <w:rsid w:val="006B00C7"/>
    <w:rsid w:val="006B0226"/>
    <w:rsid w:val="006B038E"/>
    <w:rsid w:val="006B052E"/>
    <w:rsid w:val="006B059F"/>
    <w:rsid w:val="006B05CB"/>
    <w:rsid w:val="006B08DE"/>
    <w:rsid w:val="006B0CAE"/>
    <w:rsid w:val="006B0F91"/>
    <w:rsid w:val="006B110B"/>
    <w:rsid w:val="006B1114"/>
    <w:rsid w:val="006B1343"/>
    <w:rsid w:val="006B139E"/>
    <w:rsid w:val="006B170A"/>
    <w:rsid w:val="006B17A5"/>
    <w:rsid w:val="006B1A66"/>
    <w:rsid w:val="006B1AD5"/>
    <w:rsid w:val="006B1F1F"/>
    <w:rsid w:val="006B2008"/>
    <w:rsid w:val="006B22D5"/>
    <w:rsid w:val="006B235C"/>
    <w:rsid w:val="006B238A"/>
    <w:rsid w:val="006B2538"/>
    <w:rsid w:val="006B25E5"/>
    <w:rsid w:val="006B2721"/>
    <w:rsid w:val="006B29FD"/>
    <w:rsid w:val="006B2D02"/>
    <w:rsid w:val="006B2D3C"/>
    <w:rsid w:val="006B30C2"/>
    <w:rsid w:val="006B324E"/>
    <w:rsid w:val="006B32C6"/>
    <w:rsid w:val="006B3525"/>
    <w:rsid w:val="006B3918"/>
    <w:rsid w:val="006B3AB4"/>
    <w:rsid w:val="006B3C1F"/>
    <w:rsid w:val="006B3CF4"/>
    <w:rsid w:val="006B3D5F"/>
    <w:rsid w:val="006B3DCB"/>
    <w:rsid w:val="006B3E45"/>
    <w:rsid w:val="006B3E7B"/>
    <w:rsid w:val="006B3EE1"/>
    <w:rsid w:val="006B4103"/>
    <w:rsid w:val="006B41A0"/>
    <w:rsid w:val="006B471D"/>
    <w:rsid w:val="006B47B0"/>
    <w:rsid w:val="006B4D0F"/>
    <w:rsid w:val="006B50C2"/>
    <w:rsid w:val="006B53E8"/>
    <w:rsid w:val="006B5441"/>
    <w:rsid w:val="006B55BC"/>
    <w:rsid w:val="006B562D"/>
    <w:rsid w:val="006B5661"/>
    <w:rsid w:val="006B5A45"/>
    <w:rsid w:val="006B5AD8"/>
    <w:rsid w:val="006B61BF"/>
    <w:rsid w:val="006B63CF"/>
    <w:rsid w:val="006B66E8"/>
    <w:rsid w:val="006B6974"/>
    <w:rsid w:val="006B6A5D"/>
    <w:rsid w:val="006B6D43"/>
    <w:rsid w:val="006B6D5C"/>
    <w:rsid w:val="006B6EC6"/>
    <w:rsid w:val="006B6FAE"/>
    <w:rsid w:val="006B722F"/>
    <w:rsid w:val="006B73D8"/>
    <w:rsid w:val="006B763F"/>
    <w:rsid w:val="006B77D0"/>
    <w:rsid w:val="006B793B"/>
    <w:rsid w:val="006B7B1F"/>
    <w:rsid w:val="006B7C12"/>
    <w:rsid w:val="006B7CF0"/>
    <w:rsid w:val="006B7DF8"/>
    <w:rsid w:val="006B7EF3"/>
    <w:rsid w:val="006B7F8E"/>
    <w:rsid w:val="006B7FF9"/>
    <w:rsid w:val="006C0311"/>
    <w:rsid w:val="006C0407"/>
    <w:rsid w:val="006C0ABB"/>
    <w:rsid w:val="006C0B52"/>
    <w:rsid w:val="006C0C94"/>
    <w:rsid w:val="006C10CD"/>
    <w:rsid w:val="006C1279"/>
    <w:rsid w:val="006C14B5"/>
    <w:rsid w:val="006C14DB"/>
    <w:rsid w:val="006C15B0"/>
    <w:rsid w:val="006C167A"/>
    <w:rsid w:val="006C198C"/>
    <w:rsid w:val="006C1D64"/>
    <w:rsid w:val="006C2082"/>
    <w:rsid w:val="006C209F"/>
    <w:rsid w:val="006C21A9"/>
    <w:rsid w:val="006C2200"/>
    <w:rsid w:val="006C2238"/>
    <w:rsid w:val="006C2336"/>
    <w:rsid w:val="006C23EE"/>
    <w:rsid w:val="006C2441"/>
    <w:rsid w:val="006C24C3"/>
    <w:rsid w:val="006C283C"/>
    <w:rsid w:val="006C2BC3"/>
    <w:rsid w:val="006C2C21"/>
    <w:rsid w:val="006C2C8A"/>
    <w:rsid w:val="006C2DC5"/>
    <w:rsid w:val="006C2F83"/>
    <w:rsid w:val="006C2FAB"/>
    <w:rsid w:val="006C3049"/>
    <w:rsid w:val="006C3058"/>
    <w:rsid w:val="006C329B"/>
    <w:rsid w:val="006C331E"/>
    <w:rsid w:val="006C33EA"/>
    <w:rsid w:val="006C34CF"/>
    <w:rsid w:val="006C35F5"/>
    <w:rsid w:val="006C3918"/>
    <w:rsid w:val="006C3932"/>
    <w:rsid w:val="006C3947"/>
    <w:rsid w:val="006C3B11"/>
    <w:rsid w:val="006C3C24"/>
    <w:rsid w:val="006C3C70"/>
    <w:rsid w:val="006C3D4C"/>
    <w:rsid w:val="006C3E64"/>
    <w:rsid w:val="006C3ED5"/>
    <w:rsid w:val="006C3F36"/>
    <w:rsid w:val="006C4247"/>
    <w:rsid w:val="006C42F7"/>
    <w:rsid w:val="006C4421"/>
    <w:rsid w:val="006C4515"/>
    <w:rsid w:val="006C4A43"/>
    <w:rsid w:val="006C5370"/>
    <w:rsid w:val="006C5455"/>
    <w:rsid w:val="006C5505"/>
    <w:rsid w:val="006C55FF"/>
    <w:rsid w:val="006C5AFC"/>
    <w:rsid w:val="006C5B16"/>
    <w:rsid w:val="006C5B6D"/>
    <w:rsid w:val="006C5C3D"/>
    <w:rsid w:val="006C5CED"/>
    <w:rsid w:val="006C5D89"/>
    <w:rsid w:val="006C63D4"/>
    <w:rsid w:val="006C64D5"/>
    <w:rsid w:val="006C6858"/>
    <w:rsid w:val="006C6B2B"/>
    <w:rsid w:val="006C6F2A"/>
    <w:rsid w:val="006C6F88"/>
    <w:rsid w:val="006C7313"/>
    <w:rsid w:val="006C7576"/>
    <w:rsid w:val="006C7718"/>
    <w:rsid w:val="006C774B"/>
    <w:rsid w:val="006C788E"/>
    <w:rsid w:val="006C7B0A"/>
    <w:rsid w:val="006C7DE6"/>
    <w:rsid w:val="006C7DE8"/>
    <w:rsid w:val="006C7F2C"/>
    <w:rsid w:val="006C7FAB"/>
    <w:rsid w:val="006C7FEF"/>
    <w:rsid w:val="006D004F"/>
    <w:rsid w:val="006D0255"/>
    <w:rsid w:val="006D0284"/>
    <w:rsid w:val="006D0448"/>
    <w:rsid w:val="006D09CB"/>
    <w:rsid w:val="006D0C5B"/>
    <w:rsid w:val="006D1334"/>
    <w:rsid w:val="006D13F3"/>
    <w:rsid w:val="006D1672"/>
    <w:rsid w:val="006D17A8"/>
    <w:rsid w:val="006D1807"/>
    <w:rsid w:val="006D1829"/>
    <w:rsid w:val="006D195C"/>
    <w:rsid w:val="006D1B50"/>
    <w:rsid w:val="006D1F6A"/>
    <w:rsid w:val="006D2107"/>
    <w:rsid w:val="006D21DA"/>
    <w:rsid w:val="006D221D"/>
    <w:rsid w:val="006D22BC"/>
    <w:rsid w:val="006D2868"/>
    <w:rsid w:val="006D298F"/>
    <w:rsid w:val="006D29C3"/>
    <w:rsid w:val="006D2C07"/>
    <w:rsid w:val="006D2C6B"/>
    <w:rsid w:val="006D2DCA"/>
    <w:rsid w:val="006D2F00"/>
    <w:rsid w:val="006D2F84"/>
    <w:rsid w:val="006D3063"/>
    <w:rsid w:val="006D30D2"/>
    <w:rsid w:val="006D314A"/>
    <w:rsid w:val="006D316A"/>
    <w:rsid w:val="006D324D"/>
    <w:rsid w:val="006D33FB"/>
    <w:rsid w:val="006D34C4"/>
    <w:rsid w:val="006D34DF"/>
    <w:rsid w:val="006D36D6"/>
    <w:rsid w:val="006D3A7B"/>
    <w:rsid w:val="006D3B61"/>
    <w:rsid w:val="006D3CA5"/>
    <w:rsid w:val="006D3E77"/>
    <w:rsid w:val="006D3FE3"/>
    <w:rsid w:val="006D4075"/>
    <w:rsid w:val="006D4113"/>
    <w:rsid w:val="006D416D"/>
    <w:rsid w:val="006D4488"/>
    <w:rsid w:val="006D448B"/>
    <w:rsid w:val="006D448E"/>
    <w:rsid w:val="006D481C"/>
    <w:rsid w:val="006D4A17"/>
    <w:rsid w:val="006D4D79"/>
    <w:rsid w:val="006D548E"/>
    <w:rsid w:val="006D5732"/>
    <w:rsid w:val="006D588B"/>
    <w:rsid w:val="006D58EB"/>
    <w:rsid w:val="006D59D2"/>
    <w:rsid w:val="006D5C5E"/>
    <w:rsid w:val="006D5CF1"/>
    <w:rsid w:val="006D5E99"/>
    <w:rsid w:val="006D5F05"/>
    <w:rsid w:val="006D5FC1"/>
    <w:rsid w:val="006D60B3"/>
    <w:rsid w:val="006D619A"/>
    <w:rsid w:val="006D63EF"/>
    <w:rsid w:val="006D6499"/>
    <w:rsid w:val="006D68FF"/>
    <w:rsid w:val="006D6AF9"/>
    <w:rsid w:val="006D6C6B"/>
    <w:rsid w:val="006D70CA"/>
    <w:rsid w:val="006D745B"/>
    <w:rsid w:val="006D7B64"/>
    <w:rsid w:val="006D7C4F"/>
    <w:rsid w:val="006D7CB4"/>
    <w:rsid w:val="006D7CE9"/>
    <w:rsid w:val="006D7E2D"/>
    <w:rsid w:val="006E0188"/>
    <w:rsid w:val="006E0461"/>
    <w:rsid w:val="006E04FA"/>
    <w:rsid w:val="006E079B"/>
    <w:rsid w:val="006E088F"/>
    <w:rsid w:val="006E0A4C"/>
    <w:rsid w:val="006E0C62"/>
    <w:rsid w:val="006E0C67"/>
    <w:rsid w:val="006E0D3D"/>
    <w:rsid w:val="006E1035"/>
    <w:rsid w:val="006E11C9"/>
    <w:rsid w:val="006E159D"/>
    <w:rsid w:val="006E1656"/>
    <w:rsid w:val="006E18DB"/>
    <w:rsid w:val="006E19EA"/>
    <w:rsid w:val="006E1C8B"/>
    <w:rsid w:val="006E1CA1"/>
    <w:rsid w:val="006E1D70"/>
    <w:rsid w:val="006E233A"/>
    <w:rsid w:val="006E24A6"/>
    <w:rsid w:val="006E2613"/>
    <w:rsid w:val="006E27CF"/>
    <w:rsid w:val="006E2B3E"/>
    <w:rsid w:val="006E2BA6"/>
    <w:rsid w:val="006E2C6E"/>
    <w:rsid w:val="006E2D6F"/>
    <w:rsid w:val="006E2E3C"/>
    <w:rsid w:val="006E31A0"/>
    <w:rsid w:val="006E367F"/>
    <w:rsid w:val="006E3734"/>
    <w:rsid w:val="006E3A39"/>
    <w:rsid w:val="006E3C11"/>
    <w:rsid w:val="006E3D10"/>
    <w:rsid w:val="006E454E"/>
    <w:rsid w:val="006E457D"/>
    <w:rsid w:val="006E460F"/>
    <w:rsid w:val="006E473C"/>
    <w:rsid w:val="006E47A5"/>
    <w:rsid w:val="006E47AD"/>
    <w:rsid w:val="006E4808"/>
    <w:rsid w:val="006E4832"/>
    <w:rsid w:val="006E4891"/>
    <w:rsid w:val="006E498B"/>
    <w:rsid w:val="006E49C1"/>
    <w:rsid w:val="006E4A0A"/>
    <w:rsid w:val="006E4AD0"/>
    <w:rsid w:val="006E4C85"/>
    <w:rsid w:val="006E4D1C"/>
    <w:rsid w:val="006E4F92"/>
    <w:rsid w:val="006E5214"/>
    <w:rsid w:val="006E528E"/>
    <w:rsid w:val="006E5376"/>
    <w:rsid w:val="006E5379"/>
    <w:rsid w:val="006E5500"/>
    <w:rsid w:val="006E5787"/>
    <w:rsid w:val="006E580D"/>
    <w:rsid w:val="006E5ADC"/>
    <w:rsid w:val="006E5C81"/>
    <w:rsid w:val="006E5F30"/>
    <w:rsid w:val="006E5FAF"/>
    <w:rsid w:val="006E600E"/>
    <w:rsid w:val="006E636E"/>
    <w:rsid w:val="006E639B"/>
    <w:rsid w:val="006E6527"/>
    <w:rsid w:val="006E657B"/>
    <w:rsid w:val="006E67A4"/>
    <w:rsid w:val="006E68A8"/>
    <w:rsid w:val="006E6B5F"/>
    <w:rsid w:val="006E6C68"/>
    <w:rsid w:val="006E6EAB"/>
    <w:rsid w:val="006E7016"/>
    <w:rsid w:val="006E731A"/>
    <w:rsid w:val="006E73CA"/>
    <w:rsid w:val="006E7629"/>
    <w:rsid w:val="006E7892"/>
    <w:rsid w:val="006E7B1C"/>
    <w:rsid w:val="006E7C5E"/>
    <w:rsid w:val="006E7D78"/>
    <w:rsid w:val="006E7DDC"/>
    <w:rsid w:val="006E7F32"/>
    <w:rsid w:val="006F0012"/>
    <w:rsid w:val="006F0075"/>
    <w:rsid w:val="006F0234"/>
    <w:rsid w:val="006F0369"/>
    <w:rsid w:val="006F08C0"/>
    <w:rsid w:val="006F094C"/>
    <w:rsid w:val="006F097D"/>
    <w:rsid w:val="006F0B97"/>
    <w:rsid w:val="006F0BD0"/>
    <w:rsid w:val="006F0D3D"/>
    <w:rsid w:val="006F0F17"/>
    <w:rsid w:val="006F10D2"/>
    <w:rsid w:val="006F1321"/>
    <w:rsid w:val="006F137D"/>
    <w:rsid w:val="006F1398"/>
    <w:rsid w:val="006F162D"/>
    <w:rsid w:val="006F164E"/>
    <w:rsid w:val="006F17B9"/>
    <w:rsid w:val="006F1C95"/>
    <w:rsid w:val="006F1D88"/>
    <w:rsid w:val="006F1EC8"/>
    <w:rsid w:val="006F21B1"/>
    <w:rsid w:val="006F22CC"/>
    <w:rsid w:val="006F2389"/>
    <w:rsid w:val="006F24CC"/>
    <w:rsid w:val="006F25C8"/>
    <w:rsid w:val="006F270C"/>
    <w:rsid w:val="006F27C4"/>
    <w:rsid w:val="006F2869"/>
    <w:rsid w:val="006F2B3B"/>
    <w:rsid w:val="006F2B89"/>
    <w:rsid w:val="006F2E33"/>
    <w:rsid w:val="006F30C2"/>
    <w:rsid w:val="006F333A"/>
    <w:rsid w:val="006F33D6"/>
    <w:rsid w:val="006F3430"/>
    <w:rsid w:val="006F35F9"/>
    <w:rsid w:val="006F376B"/>
    <w:rsid w:val="006F3C04"/>
    <w:rsid w:val="006F3D4A"/>
    <w:rsid w:val="006F400C"/>
    <w:rsid w:val="006F401B"/>
    <w:rsid w:val="006F4343"/>
    <w:rsid w:val="006F43E9"/>
    <w:rsid w:val="006F44C6"/>
    <w:rsid w:val="006F4960"/>
    <w:rsid w:val="006F4B9D"/>
    <w:rsid w:val="006F4D27"/>
    <w:rsid w:val="006F4EC1"/>
    <w:rsid w:val="006F5030"/>
    <w:rsid w:val="006F527C"/>
    <w:rsid w:val="006F55BD"/>
    <w:rsid w:val="006F5973"/>
    <w:rsid w:val="006F5A5F"/>
    <w:rsid w:val="006F5B0D"/>
    <w:rsid w:val="006F5C11"/>
    <w:rsid w:val="006F5C87"/>
    <w:rsid w:val="006F5C8F"/>
    <w:rsid w:val="006F5E73"/>
    <w:rsid w:val="006F62B0"/>
    <w:rsid w:val="006F6457"/>
    <w:rsid w:val="006F6C06"/>
    <w:rsid w:val="006F6FBC"/>
    <w:rsid w:val="006F701B"/>
    <w:rsid w:val="006F730B"/>
    <w:rsid w:val="006F7426"/>
    <w:rsid w:val="006F78D7"/>
    <w:rsid w:val="006F79E2"/>
    <w:rsid w:val="006F7B2F"/>
    <w:rsid w:val="006F7EDD"/>
    <w:rsid w:val="0070046B"/>
    <w:rsid w:val="00700B93"/>
    <w:rsid w:val="00700BD2"/>
    <w:rsid w:val="00700C8A"/>
    <w:rsid w:val="00700CB2"/>
    <w:rsid w:val="00700DEC"/>
    <w:rsid w:val="00701239"/>
    <w:rsid w:val="00701247"/>
    <w:rsid w:val="00701281"/>
    <w:rsid w:val="007013A1"/>
    <w:rsid w:val="007014A8"/>
    <w:rsid w:val="007014B6"/>
    <w:rsid w:val="007016EC"/>
    <w:rsid w:val="00701823"/>
    <w:rsid w:val="00701871"/>
    <w:rsid w:val="007019B9"/>
    <w:rsid w:val="007019F9"/>
    <w:rsid w:val="00701A22"/>
    <w:rsid w:val="00701A82"/>
    <w:rsid w:val="00701EB2"/>
    <w:rsid w:val="00701ED3"/>
    <w:rsid w:val="00702011"/>
    <w:rsid w:val="007021FE"/>
    <w:rsid w:val="00702370"/>
    <w:rsid w:val="007023D0"/>
    <w:rsid w:val="007023D8"/>
    <w:rsid w:val="00702412"/>
    <w:rsid w:val="0070241B"/>
    <w:rsid w:val="00702558"/>
    <w:rsid w:val="007027B9"/>
    <w:rsid w:val="007028E2"/>
    <w:rsid w:val="007029D2"/>
    <w:rsid w:val="00702D5F"/>
    <w:rsid w:val="00702EBE"/>
    <w:rsid w:val="00702FFF"/>
    <w:rsid w:val="0070304A"/>
    <w:rsid w:val="007033CA"/>
    <w:rsid w:val="00703583"/>
    <w:rsid w:val="007036A2"/>
    <w:rsid w:val="0070381B"/>
    <w:rsid w:val="00703A26"/>
    <w:rsid w:val="00703BAE"/>
    <w:rsid w:val="00703BC1"/>
    <w:rsid w:val="00703DA3"/>
    <w:rsid w:val="00703FBE"/>
    <w:rsid w:val="00704315"/>
    <w:rsid w:val="0070433D"/>
    <w:rsid w:val="007043F8"/>
    <w:rsid w:val="00704416"/>
    <w:rsid w:val="00704549"/>
    <w:rsid w:val="007046A0"/>
    <w:rsid w:val="00704701"/>
    <w:rsid w:val="007048D5"/>
    <w:rsid w:val="00704B2B"/>
    <w:rsid w:val="00704CBC"/>
    <w:rsid w:val="00705460"/>
    <w:rsid w:val="00705573"/>
    <w:rsid w:val="007055EB"/>
    <w:rsid w:val="00705D3F"/>
    <w:rsid w:val="00705EA9"/>
    <w:rsid w:val="00705FAE"/>
    <w:rsid w:val="00706085"/>
    <w:rsid w:val="007061A9"/>
    <w:rsid w:val="00706465"/>
    <w:rsid w:val="0070656C"/>
    <w:rsid w:val="00706706"/>
    <w:rsid w:val="00706983"/>
    <w:rsid w:val="0070698D"/>
    <w:rsid w:val="00706993"/>
    <w:rsid w:val="00706CAA"/>
    <w:rsid w:val="00706D02"/>
    <w:rsid w:val="00706E90"/>
    <w:rsid w:val="007071A1"/>
    <w:rsid w:val="00707587"/>
    <w:rsid w:val="00707689"/>
    <w:rsid w:val="00707C6B"/>
    <w:rsid w:val="00707D51"/>
    <w:rsid w:val="00707D66"/>
    <w:rsid w:val="00707FF1"/>
    <w:rsid w:val="0071008C"/>
    <w:rsid w:val="00710210"/>
    <w:rsid w:val="0071040D"/>
    <w:rsid w:val="007105AF"/>
    <w:rsid w:val="0071066D"/>
    <w:rsid w:val="007107F5"/>
    <w:rsid w:val="007108C3"/>
    <w:rsid w:val="00710BC8"/>
    <w:rsid w:val="00710D3F"/>
    <w:rsid w:val="0071112B"/>
    <w:rsid w:val="007111BA"/>
    <w:rsid w:val="007115D9"/>
    <w:rsid w:val="00711686"/>
    <w:rsid w:val="007116A8"/>
    <w:rsid w:val="00711725"/>
    <w:rsid w:val="00711C24"/>
    <w:rsid w:val="00711C41"/>
    <w:rsid w:val="007121E8"/>
    <w:rsid w:val="007123F3"/>
    <w:rsid w:val="007128FA"/>
    <w:rsid w:val="00712E52"/>
    <w:rsid w:val="00712EED"/>
    <w:rsid w:val="00712FBA"/>
    <w:rsid w:val="007132E3"/>
    <w:rsid w:val="00713353"/>
    <w:rsid w:val="00713375"/>
    <w:rsid w:val="007134EC"/>
    <w:rsid w:val="007136D0"/>
    <w:rsid w:val="007136F7"/>
    <w:rsid w:val="00713963"/>
    <w:rsid w:val="0071399E"/>
    <w:rsid w:val="007139F6"/>
    <w:rsid w:val="00713AC7"/>
    <w:rsid w:val="00713D4C"/>
    <w:rsid w:val="00714101"/>
    <w:rsid w:val="0071418A"/>
    <w:rsid w:val="007142D2"/>
    <w:rsid w:val="0071434E"/>
    <w:rsid w:val="00714489"/>
    <w:rsid w:val="007144A1"/>
    <w:rsid w:val="007144AD"/>
    <w:rsid w:val="0071484E"/>
    <w:rsid w:val="00714890"/>
    <w:rsid w:val="00714940"/>
    <w:rsid w:val="00714AD3"/>
    <w:rsid w:val="00714BF4"/>
    <w:rsid w:val="00714D66"/>
    <w:rsid w:val="00714F36"/>
    <w:rsid w:val="00715158"/>
    <w:rsid w:val="0071553E"/>
    <w:rsid w:val="00715811"/>
    <w:rsid w:val="00715850"/>
    <w:rsid w:val="00715A57"/>
    <w:rsid w:val="00715B18"/>
    <w:rsid w:val="00716616"/>
    <w:rsid w:val="00716649"/>
    <w:rsid w:val="0071684D"/>
    <w:rsid w:val="007169BA"/>
    <w:rsid w:val="00716AF9"/>
    <w:rsid w:val="00716BB3"/>
    <w:rsid w:val="00716CA6"/>
    <w:rsid w:val="00717007"/>
    <w:rsid w:val="00717345"/>
    <w:rsid w:val="007173B9"/>
    <w:rsid w:val="00717703"/>
    <w:rsid w:val="007178EA"/>
    <w:rsid w:val="00717959"/>
    <w:rsid w:val="00717E33"/>
    <w:rsid w:val="00717EA4"/>
    <w:rsid w:val="00717F9A"/>
    <w:rsid w:val="007203B7"/>
    <w:rsid w:val="0072065E"/>
    <w:rsid w:val="007207BA"/>
    <w:rsid w:val="007208A7"/>
    <w:rsid w:val="00720AD5"/>
    <w:rsid w:val="00720C0E"/>
    <w:rsid w:val="00720E27"/>
    <w:rsid w:val="00720FA0"/>
    <w:rsid w:val="0072102A"/>
    <w:rsid w:val="00721275"/>
    <w:rsid w:val="00721388"/>
    <w:rsid w:val="007213C2"/>
    <w:rsid w:val="007217A9"/>
    <w:rsid w:val="00721907"/>
    <w:rsid w:val="0072194D"/>
    <w:rsid w:val="00721972"/>
    <w:rsid w:val="00721A8F"/>
    <w:rsid w:val="00721B1E"/>
    <w:rsid w:val="00721BF9"/>
    <w:rsid w:val="00721C06"/>
    <w:rsid w:val="00721C63"/>
    <w:rsid w:val="00721D79"/>
    <w:rsid w:val="00721DCE"/>
    <w:rsid w:val="0072207F"/>
    <w:rsid w:val="007224CB"/>
    <w:rsid w:val="007225EF"/>
    <w:rsid w:val="0072264C"/>
    <w:rsid w:val="0072273A"/>
    <w:rsid w:val="0072273B"/>
    <w:rsid w:val="00722779"/>
    <w:rsid w:val="0072286A"/>
    <w:rsid w:val="00722944"/>
    <w:rsid w:val="00722A3A"/>
    <w:rsid w:val="00722AB4"/>
    <w:rsid w:val="00722CA2"/>
    <w:rsid w:val="00722EEE"/>
    <w:rsid w:val="007230F8"/>
    <w:rsid w:val="007234DF"/>
    <w:rsid w:val="007235D2"/>
    <w:rsid w:val="0072366C"/>
    <w:rsid w:val="007236DF"/>
    <w:rsid w:val="007237CD"/>
    <w:rsid w:val="00723A41"/>
    <w:rsid w:val="00723A42"/>
    <w:rsid w:val="00723BFD"/>
    <w:rsid w:val="00723D94"/>
    <w:rsid w:val="00723DED"/>
    <w:rsid w:val="00723F24"/>
    <w:rsid w:val="00723FF2"/>
    <w:rsid w:val="007243C9"/>
    <w:rsid w:val="007244DE"/>
    <w:rsid w:val="00724772"/>
    <w:rsid w:val="007248CC"/>
    <w:rsid w:val="007249B2"/>
    <w:rsid w:val="00724BA6"/>
    <w:rsid w:val="00724BBB"/>
    <w:rsid w:val="00724CD4"/>
    <w:rsid w:val="00724EB3"/>
    <w:rsid w:val="00725255"/>
    <w:rsid w:val="007253D9"/>
    <w:rsid w:val="007254B0"/>
    <w:rsid w:val="00725853"/>
    <w:rsid w:val="007258D5"/>
    <w:rsid w:val="00725928"/>
    <w:rsid w:val="00725ADA"/>
    <w:rsid w:val="00725DEC"/>
    <w:rsid w:val="00725EBF"/>
    <w:rsid w:val="00725FC1"/>
    <w:rsid w:val="00726206"/>
    <w:rsid w:val="00726281"/>
    <w:rsid w:val="0072655D"/>
    <w:rsid w:val="0072660B"/>
    <w:rsid w:val="0072661C"/>
    <w:rsid w:val="00726838"/>
    <w:rsid w:val="007268AE"/>
    <w:rsid w:val="007268F3"/>
    <w:rsid w:val="007269A0"/>
    <w:rsid w:val="00726A26"/>
    <w:rsid w:val="00726BE6"/>
    <w:rsid w:val="00726E73"/>
    <w:rsid w:val="00726F24"/>
    <w:rsid w:val="0072719B"/>
    <w:rsid w:val="007273FE"/>
    <w:rsid w:val="00727476"/>
    <w:rsid w:val="007275CF"/>
    <w:rsid w:val="0072768A"/>
    <w:rsid w:val="00727F54"/>
    <w:rsid w:val="00730171"/>
    <w:rsid w:val="007301E1"/>
    <w:rsid w:val="00730272"/>
    <w:rsid w:val="00730382"/>
    <w:rsid w:val="007303C9"/>
    <w:rsid w:val="0073089C"/>
    <w:rsid w:val="00730903"/>
    <w:rsid w:val="00730AE9"/>
    <w:rsid w:val="00730B87"/>
    <w:rsid w:val="00730E3C"/>
    <w:rsid w:val="00730EE1"/>
    <w:rsid w:val="007310BE"/>
    <w:rsid w:val="007312D8"/>
    <w:rsid w:val="007313B6"/>
    <w:rsid w:val="00731675"/>
    <w:rsid w:val="0073186F"/>
    <w:rsid w:val="00731928"/>
    <w:rsid w:val="00731966"/>
    <w:rsid w:val="00731A0C"/>
    <w:rsid w:val="00731A29"/>
    <w:rsid w:val="00731D1B"/>
    <w:rsid w:val="00731F02"/>
    <w:rsid w:val="00731F6A"/>
    <w:rsid w:val="00732026"/>
    <w:rsid w:val="0073209C"/>
    <w:rsid w:val="007321DB"/>
    <w:rsid w:val="007322B7"/>
    <w:rsid w:val="007325EE"/>
    <w:rsid w:val="007327C3"/>
    <w:rsid w:val="007328CC"/>
    <w:rsid w:val="00732A91"/>
    <w:rsid w:val="00732B31"/>
    <w:rsid w:val="00732C30"/>
    <w:rsid w:val="00732DF8"/>
    <w:rsid w:val="00733016"/>
    <w:rsid w:val="0073301F"/>
    <w:rsid w:val="00733022"/>
    <w:rsid w:val="00733082"/>
    <w:rsid w:val="00733165"/>
    <w:rsid w:val="007331E2"/>
    <w:rsid w:val="0073349C"/>
    <w:rsid w:val="007335B2"/>
    <w:rsid w:val="0073373E"/>
    <w:rsid w:val="0073381A"/>
    <w:rsid w:val="007339DD"/>
    <w:rsid w:val="00733A2B"/>
    <w:rsid w:val="00733A40"/>
    <w:rsid w:val="00733BC1"/>
    <w:rsid w:val="00733BF5"/>
    <w:rsid w:val="00733C6C"/>
    <w:rsid w:val="00734119"/>
    <w:rsid w:val="0073455D"/>
    <w:rsid w:val="0073458C"/>
    <w:rsid w:val="00734CA9"/>
    <w:rsid w:val="00734CF0"/>
    <w:rsid w:val="00734CF7"/>
    <w:rsid w:val="00734D60"/>
    <w:rsid w:val="00734FE1"/>
    <w:rsid w:val="00735287"/>
    <w:rsid w:val="0073548B"/>
    <w:rsid w:val="007354D5"/>
    <w:rsid w:val="00735818"/>
    <w:rsid w:val="00735C27"/>
    <w:rsid w:val="00735EB0"/>
    <w:rsid w:val="007361E3"/>
    <w:rsid w:val="007361FC"/>
    <w:rsid w:val="0073650C"/>
    <w:rsid w:val="0073655A"/>
    <w:rsid w:val="0073656E"/>
    <w:rsid w:val="00736618"/>
    <w:rsid w:val="0073681D"/>
    <w:rsid w:val="00736900"/>
    <w:rsid w:val="007369E2"/>
    <w:rsid w:val="00736B70"/>
    <w:rsid w:val="00736CE3"/>
    <w:rsid w:val="00736D69"/>
    <w:rsid w:val="00737108"/>
    <w:rsid w:val="00737206"/>
    <w:rsid w:val="00737291"/>
    <w:rsid w:val="0073736C"/>
    <w:rsid w:val="007375A6"/>
    <w:rsid w:val="0073768C"/>
    <w:rsid w:val="007378A6"/>
    <w:rsid w:val="00737920"/>
    <w:rsid w:val="007379E5"/>
    <w:rsid w:val="007379F9"/>
    <w:rsid w:val="00737B09"/>
    <w:rsid w:val="00737B49"/>
    <w:rsid w:val="00737B72"/>
    <w:rsid w:val="00737CC6"/>
    <w:rsid w:val="00737E00"/>
    <w:rsid w:val="00737EF0"/>
    <w:rsid w:val="0074014A"/>
    <w:rsid w:val="007401D0"/>
    <w:rsid w:val="007401DD"/>
    <w:rsid w:val="00740264"/>
    <w:rsid w:val="007403E7"/>
    <w:rsid w:val="0074052D"/>
    <w:rsid w:val="00740696"/>
    <w:rsid w:val="00740781"/>
    <w:rsid w:val="007407ED"/>
    <w:rsid w:val="0074085F"/>
    <w:rsid w:val="00740888"/>
    <w:rsid w:val="007408C6"/>
    <w:rsid w:val="007409A6"/>
    <w:rsid w:val="00740B7C"/>
    <w:rsid w:val="00740C72"/>
    <w:rsid w:val="00740C8D"/>
    <w:rsid w:val="00740D13"/>
    <w:rsid w:val="007411F8"/>
    <w:rsid w:val="0074147B"/>
    <w:rsid w:val="0074158B"/>
    <w:rsid w:val="007416AA"/>
    <w:rsid w:val="007418B1"/>
    <w:rsid w:val="00741AFC"/>
    <w:rsid w:val="00741BBD"/>
    <w:rsid w:val="00741C48"/>
    <w:rsid w:val="00741C8A"/>
    <w:rsid w:val="00741CFD"/>
    <w:rsid w:val="00741E35"/>
    <w:rsid w:val="00741E60"/>
    <w:rsid w:val="00741E65"/>
    <w:rsid w:val="00741F0F"/>
    <w:rsid w:val="00742046"/>
    <w:rsid w:val="007422F1"/>
    <w:rsid w:val="0074251D"/>
    <w:rsid w:val="00742658"/>
    <w:rsid w:val="0074276C"/>
    <w:rsid w:val="007427AC"/>
    <w:rsid w:val="007429E9"/>
    <w:rsid w:val="00742A40"/>
    <w:rsid w:val="00742A4F"/>
    <w:rsid w:val="00742BF2"/>
    <w:rsid w:val="00743160"/>
    <w:rsid w:val="007434C2"/>
    <w:rsid w:val="00743591"/>
    <w:rsid w:val="007435E8"/>
    <w:rsid w:val="00743781"/>
    <w:rsid w:val="0074392F"/>
    <w:rsid w:val="00743C73"/>
    <w:rsid w:val="00743D34"/>
    <w:rsid w:val="00743EAD"/>
    <w:rsid w:val="00744194"/>
    <w:rsid w:val="00744248"/>
    <w:rsid w:val="007442A6"/>
    <w:rsid w:val="007444AB"/>
    <w:rsid w:val="0074460B"/>
    <w:rsid w:val="0074480A"/>
    <w:rsid w:val="0074481E"/>
    <w:rsid w:val="00744D54"/>
    <w:rsid w:val="00744D6A"/>
    <w:rsid w:val="0074514C"/>
    <w:rsid w:val="007451CD"/>
    <w:rsid w:val="007452CB"/>
    <w:rsid w:val="00745340"/>
    <w:rsid w:val="00745341"/>
    <w:rsid w:val="0074545D"/>
    <w:rsid w:val="0074552C"/>
    <w:rsid w:val="007457B4"/>
    <w:rsid w:val="007457C4"/>
    <w:rsid w:val="00745983"/>
    <w:rsid w:val="00745AA5"/>
    <w:rsid w:val="00745D58"/>
    <w:rsid w:val="00745DC9"/>
    <w:rsid w:val="00745E29"/>
    <w:rsid w:val="00746383"/>
    <w:rsid w:val="0074663C"/>
    <w:rsid w:val="007467F0"/>
    <w:rsid w:val="00746915"/>
    <w:rsid w:val="00746A2E"/>
    <w:rsid w:val="00746C42"/>
    <w:rsid w:val="00746C69"/>
    <w:rsid w:val="00747464"/>
    <w:rsid w:val="00747465"/>
    <w:rsid w:val="007476F6"/>
    <w:rsid w:val="007478B5"/>
    <w:rsid w:val="007479B5"/>
    <w:rsid w:val="00747E6F"/>
    <w:rsid w:val="00750005"/>
    <w:rsid w:val="007501CF"/>
    <w:rsid w:val="0075022A"/>
    <w:rsid w:val="00750533"/>
    <w:rsid w:val="0075064E"/>
    <w:rsid w:val="007508B4"/>
    <w:rsid w:val="00750C3D"/>
    <w:rsid w:val="00750E9B"/>
    <w:rsid w:val="00750F31"/>
    <w:rsid w:val="00750F75"/>
    <w:rsid w:val="00750FEC"/>
    <w:rsid w:val="007510D3"/>
    <w:rsid w:val="007512A5"/>
    <w:rsid w:val="007514DD"/>
    <w:rsid w:val="00751567"/>
    <w:rsid w:val="007516DB"/>
    <w:rsid w:val="00751762"/>
    <w:rsid w:val="0075179F"/>
    <w:rsid w:val="007518DC"/>
    <w:rsid w:val="00751963"/>
    <w:rsid w:val="00751981"/>
    <w:rsid w:val="00751B09"/>
    <w:rsid w:val="00751B6F"/>
    <w:rsid w:val="00751BB4"/>
    <w:rsid w:val="00751C48"/>
    <w:rsid w:val="00751F0A"/>
    <w:rsid w:val="0075202E"/>
    <w:rsid w:val="0075218E"/>
    <w:rsid w:val="0075243B"/>
    <w:rsid w:val="00752499"/>
    <w:rsid w:val="00752802"/>
    <w:rsid w:val="007528E1"/>
    <w:rsid w:val="00752D84"/>
    <w:rsid w:val="00752D9C"/>
    <w:rsid w:val="00752F0E"/>
    <w:rsid w:val="00752FE2"/>
    <w:rsid w:val="0075333C"/>
    <w:rsid w:val="0075365A"/>
    <w:rsid w:val="00753699"/>
    <w:rsid w:val="00753B4F"/>
    <w:rsid w:val="00753CA5"/>
    <w:rsid w:val="00753D54"/>
    <w:rsid w:val="00753EE5"/>
    <w:rsid w:val="007544E4"/>
    <w:rsid w:val="00754D9D"/>
    <w:rsid w:val="00754E66"/>
    <w:rsid w:val="00754F76"/>
    <w:rsid w:val="007552DE"/>
    <w:rsid w:val="00755311"/>
    <w:rsid w:val="007553AD"/>
    <w:rsid w:val="00755612"/>
    <w:rsid w:val="00755C0F"/>
    <w:rsid w:val="00755F64"/>
    <w:rsid w:val="00755F70"/>
    <w:rsid w:val="00755FA3"/>
    <w:rsid w:val="00756246"/>
    <w:rsid w:val="00756543"/>
    <w:rsid w:val="0075655A"/>
    <w:rsid w:val="007565FD"/>
    <w:rsid w:val="00756806"/>
    <w:rsid w:val="007568F7"/>
    <w:rsid w:val="0075690B"/>
    <w:rsid w:val="00756A46"/>
    <w:rsid w:val="00756C1D"/>
    <w:rsid w:val="00756FA5"/>
    <w:rsid w:val="00756FB9"/>
    <w:rsid w:val="007570CF"/>
    <w:rsid w:val="00757154"/>
    <w:rsid w:val="007571BA"/>
    <w:rsid w:val="00757232"/>
    <w:rsid w:val="00757404"/>
    <w:rsid w:val="007574A2"/>
    <w:rsid w:val="00757795"/>
    <w:rsid w:val="00757C9A"/>
    <w:rsid w:val="00757EC4"/>
    <w:rsid w:val="00760231"/>
    <w:rsid w:val="00760305"/>
    <w:rsid w:val="0076044F"/>
    <w:rsid w:val="007606A9"/>
    <w:rsid w:val="007608AC"/>
    <w:rsid w:val="00760A19"/>
    <w:rsid w:val="00760A3B"/>
    <w:rsid w:val="00760B96"/>
    <w:rsid w:val="00760B9D"/>
    <w:rsid w:val="00760D20"/>
    <w:rsid w:val="00760E21"/>
    <w:rsid w:val="00760ED0"/>
    <w:rsid w:val="00760F19"/>
    <w:rsid w:val="00760FC6"/>
    <w:rsid w:val="00760FE2"/>
    <w:rsid w:val="00760FFE"/>
    <w:rsid w:val="007610AC"/>
    <w:rsid w:val="0076113F"/>
    <w:rsid w:val="00761228"/>
    <w:rsid w:val="00761235"/>
    <w:rsid w:val="007613BA"/>
    <w:rsid w:val="007613EC"/>
    <w:rsid w:val="00761613"/>
    <w:rsid w:val="0076164E"/>
    <w:rsid w:val="007618EE"/>
    <w:rsid w:val="007618F4"/>
    <w:rsid w:val="00761B49"/>
    <w:rsid w:val="00761D8F"/>
    <w:rsid w:val="00761F4E"/>
    <w:rsid w:val="00762013"/>
    <w:rsid w:val="00762142"/>
    <w:rsid w:val="0076222C"/>
    <w:rsid w:val="007626A1"/>
    <w:rsid w:val="007626A2"/>
    <w:rsid w:val="00762769"/>
    <w:rsid w:val="007627B6"/>
    <w:rsid w:val="007629E8"/>
    <w:rsid w:val="00762C5C"/>
    <w:rsid w:val="00762C99"/>
    <w:rsid w:val="00762D7C"/>
    <w:rsid w:val="00762EBE"/>
    <w:rsid w:val="0076305B"/>
    <w:rsid w:val="0076309B"/>
    <w:rsid w:val="007631C1"/>
    <w:rsid w:val="0076325F"/>
    <w:rsid w:val="007632A4"/>
    <w:rsid w:val="00763912"/>
    <w:rsid w:val="00763943"/>
    <w:rsid w:val="0076398C"/>
    <w:rsid w:val="00763F5B"/>
    <w:rsid w:val="00763F76"/>
    <w:rsid w:val="00764434"/>
    <w:rsid w:val="00764689"/>
    <w:rsid w:val="0076473F"/>
    <w:rsid w:val="007647CB"/>
    <w:rsid w:val="0076490C"/>
    <w:rsid w:val="00764938"/>
    <w:rsid w:val="00764992"/>
    <w:rsid w:val="00764A70"/>
    <w:rsid w:val="00764ADD"/>
    <w:rsid w:val="00764B28"/>
    <w:rsid w:val="00764F89"/>
    <w:rsid w:val="00765252"/>
    <w:rsid w:val="00765740"/>
    <w:rsid w:val="00765754"/>
    <w:rsid w:val="00765758"/>
    <w:rsid w:val="007658B5"/>
    <w:rsid w:val="00766102"/>
    <w:rsid w:val="00766228"/>
    <w:rsid w:val="007663E3"/>
    <w:rsid w:val="0076658F"/>
    <w:rsid w:val="007665BE"/>
    <w:rsid w:val="007669ED"/>
    <w:rsid w:val="00766A8B"/>
    <w:rsid w:val="00766B6B"/>
    <w:rsid w:val="00766BCE"/>
    <w:rsid w:val="00766C00"/>
    <w:rsid w:val="00766D9D"/>
    <w:rsid w:val="00766FF4"/>
    <w:rsid w:val="00767059"/>
    <w:rsid w:val="00767254"/>
    <w:rsid w:val="0076763A"/>
    <w:rsid w:val="007676B4"/>
    <w:rsid w:val="007677D9"/>
    <w:rsid w:val="00767B10"/>
    <w:rsid w:val="00767E80"/>
    <w:rsid w:val="00767FA2"/>
    <w:rsid w:val="00767FB7"/>
    <w:rsid w:val="007701A0"/>
    <w:rsid w:val="00770205"/>
    <w:rsid w:val="0077022C"/>
    <w:rsid w:val="007703DC"/>
    <w:rsid w:val="007709D9"/>
    <w:rsid w:val="00770AB8"/>
    <w:rsid w:val="00770DE0"/>
    <w:rsid w:val="00771072"/>
    <w:rsid w:val="00771132"/>
    <w:rsid w:val="007712C0"/>
    <w:rsid w:val="007712DD"/>
    <w:rsid w:val="0077138C"/>
    <w:rsid w:val="007714FE"/>
    <w:rsid w:val="00771698"/>
    <w:rsid w:val="00771702"/>
    <w:rsid w:val="00771800"/>
    <w:rsid w:val="00771957"/>
    <w:rsid w:val="007719FB"/>
    <w:rsid w:val="00771A6B"/>
    <w:rsid w:val="00771B24"/>
    <w:rsid w:val="00771BE6"/>
    <w:rsid w:val="00771DE3"/>
    <w:rsid w:val="00772083"/>
    <w:rsid w:val="007720F2"/>
    <w:rsid w:val="007721A2"/>
    <w:rsid w:val="00772270"/>
    <w:rsid w:val="00772303"/>
    <w:rsid w:val="00772386"/>
    <w:rsid w:val="00772428"/>
    <w:rsid w:val="00772B0B"/>
    <w:rsid w:val="00772B43"/>
    <w:rsid w:val="00772BE5"/>
    <w:rsid w:val="00772CB2"/>
    <w:rsid w:val="00772CF5"/>
    <w:rsid w:val="00772E26"/>
    <w:rsid w:val="00772E39"/>
    <w:rsid w:val="00772F02"/>
    <w:rsid w:val="007730EA"/>
    <w:rsid w:val="00773103"/>
    <w:rsid w:val="007734A6"/>
    <w:rsid w:val="00773657"/>
    <w:rsid w:val="00773987"/>
    <w:rsid w:val="00773A98"/>
    <w:rsid w:val="00773EB9"/>
    <w:rsid w:val="00773FF1"/>
    <w:rsid w:val="00773FFF"/>
    <w:rsid w:val="00774142"/>
    <w:rsid w:val="007741FE"/>
    <w:rsid w:val="007742BA"/>
    <w:rsid w:val="007742EC"/>
    <w:rsid w:val="007744AC"/>
    <w:rsid w:val="007748C2"/>
    <w:rsid w:val="0077491D"/>
    <w:rsid w:val="00774BC1"/>
    <w:rsid w:val="00774C95"/>
    <w:rsid w:val="00774D04"/>
    <w:rsid w:val="00774E81"/>
    <w:rsid w:val="00775632"/>
    <w:rsid w:val="007757BB"/>
    <w:rsid w:val="00775AF4"/>
    <w:rsid w:val="00775D60"/>
    <w:rsid w:val="00775F0C"/>
    <w:rsid w:val="00775F80"/>
    <w:rsid w:val="00775FBE"/>
    <w:rsid w:val="00775FFD"/>
    <w:rsid w:val="00776161"/>
    <w:rsid w:val="007762A2"/>
    <w:rsid w:val="007762E1"/>
    <w:rsid w:val="00776387"/>
    <w:rsid w:val="007763E5"/>
    <w:rsid w:val="007764D8"/>
    <w:rsid w:val="00776C75"/>
    <w:rsid w:val="00776E21"/>
    <w:rsid w:val="00776F24"/>
    <w:rsid w:val="007772C2"/>
    <w:rsid w:val="007773FF"/>
    <w:rsid w:val="0077743B"/>
    <w:rsid w:val="0077749E"/>
    <w:rsid w:val="007774BE"/>
    <w:rsid w:val="007775DD"/>
    <w:rsid w:val="00777666"/>
    <w:rsid w:val="007777AF"/>
    <w:rsid w:val="007778DC"/>
    <w:rsid w:val="00777A4E"/>
    <w:rsid w:val="00777B04"/>
    <w:rsid w:val="00777BC4"/>
    <w:rsid w:val="00777EE8"/>
    <w:rsid w:val="0078051B"/>
    <w:rsid w:val="00780529"/>
    <w:rsid w:val="00780748"/>
    <w:rsid w:val="007809CF"/>
    <w:rsid w:val="00780A91"/>
    <w:rsid w:val="00780B6E"/>
    <w:rsid w:val="00780C98"/>
    <w:rsid w:val="00780CC9"/>
    <w:rsid w:val="00780D5F"/>
    <w:rsid w:val="00780F9A"/>
    <w:rsid w:val="0078107D"/>
    <w:rsid w:val="00781164"/>
    <w:rsid w:val="0078124F"/>
    <w:rsid w:val="007814FC"/>
    <w:rsid w:val="00781A0F"/>
    <w:rsid w:val="00781B67"/>
    <w:rsid w:val="00781EAE"/>
    <w:rsid w:val="00782134"/>
    <w:rsid w:val="0078232C"/>
    <w:rsid w:val="007823D6"/>
    <w:rsid w:val="00782695"/>
    <w:rsid w:val="00782AFB"/>
    <w:rsid w:val="00782C1A"/>
    <w:rsid w:val="00782CFD"/>
    <w:rsid w:val="00782DE3"/>
    <w:rsid w:val="00783261"/>
    <w:rsid w:val="00783272"/>
    <w:rsid w:val="007833E8"/>
    <w:rsid w:val="00783402"/>
    <w:rsid w:val="00783535"/>
    <w:rsid w:val="0078364E"/>
    <w:rsid w:val="0078369E"/>
    <w:rsid w:val="00783806"/>
    <w:rsid w:val="00783B69"/>
    <w:rsid w:val="00783C3C"/>
    <w:rsid w:val="00783D78"/>
    <w:rsid w:val="00783F1C"/>
    <w:rsid w:val="00783F6F"/>
    <w:rsid w:val="0078414B"/>
    <w:rsid w:val="007847AE"/>
    <w:rsid w:val="00784914"/>
    <w:rsid w:val="00784C36"/>
    <w:rsid w:val="00784D91"/>
    <w:rsid w:val="00784E8C"/>
    <w:rsid w:val="00784F48"/>
    <w:rsid w:val="00784F9E"/>
    <w:rsid w:val="0078511D"/>
    <w:rsid w:val="007852F0"/>
    <w:rsid w:val="00785369"/>
    <w:rsid w:val="00785526"/>
    <w:rsid w:val="0078554C"/>
    <w:rsid w:val="00785636"/>
    <w:rsid w:val="0078599B"/>
    <w:rsid w:val="00785A80"/>
    <w:rsid w:val="00785A82"/>
    <w:rsid w:val="00785B90"/>
    <w:rsid w:val="00785BD5"/>
    <w:rsid w:val="00785C23"/>
    <w:rsid w:val="00785E4F"/>
    <w:rsid w:val="00785E8F"/>
    <w:rsid w:val="00786034"/>
    <w:rsid w:val="007860B8"/>
    <w:rsid w:val="00786117"/>
    <w:rsid w:val="007861CF"/>
    <w:rsid w:val="0078628B"/>
    <w:rsid w:val="007862B4"/>
    <w:rsid w:val="0078664C"/>
    <w:rsid w:val="0078674F"/>
    <w:rsid w:val="0078696B"/>
    <w:rsid w:val="00786ACF"/>
    <w:rsid w:val="00786AF8"/>
    <w:rsid w:val="00786C55"/>
    <w:rsid w:val="00786F29"/>
    <w:rsid w:val="007870DA"/>
    <w:rsid w:val="00787178"/>
    <w:rsid w:val="00787376"/>
    <w:rsid w:val="00787856"/>
    <w:rsid w:val="0078788D"/>
    <w:rsid w:val="00787945"/>
    <w:rsid w:val="00787A13"/>
    <w:rsid w:val="00787ABF"/>
    <w:rsid w:val="00787DA5"/>
    <w:rsid w:val="00787E6E"/>
    <w:rsid w:val="00787E7E"/>
    <w:rsid w:val="00787E80"/>
    <w:rsid w:val="00790042"/>
    <w:rsid w:val="0079011F"/>
    <w:rsid w:val="00790341"/>
    <w:rsid w:val="00790482"/>
    <w:rsid w:val="00790831"/>
    <w:rsid w:val="00790963"/>
    <w:rsid w:val="00790C02"/>
    <w:rsid w:val="00790C77"/>
    <w:rsid w:val="00790CD9"/>
    <w:rsid w:val="00790E06"/>
    <w:rsid w:val="00790E11"/>
    <w:rsid w:val="00790E71"/>
    <w:rsid w:val="00790F29"/>
    <w:rsid w:val="00790F9F"/>
    <w:rsid w:val="00790FB9"/>
    <w:rsid w:val="00790FD0"/>
    <w:rsid w:val="0079110A"/>
    <w:rsid w:val="00791114"/>
    <w:rsid w:val="007915BD"/>
    <w:rsid w:val="007915EF"/>
    <w:rsid w:val="00791940"/>
    <w:rsid w:val="00791CCF"/>
    <w:rsid w:val="00791F38"/>
    <w:rsid w:val="00792111"/>
    <w:rsid w:val="007923E6"/>
    <w:rsid w:val="00792430"/>
    <w:rsid w:val="00792496"/>
    <w:rsid w:val="007927FD"/>
    <w:rsid w:val="00792867"/>
    <w:rsid w:val="00792935"/>
    <w:rsid w:val="007929BB"/>
    <w:rsid w:val="00792A8C"/>
    <w:rsid w:val="00792AAA"/>
    <w:rsid w:val="00792B38"/>
    <w:rsid w:val="00792F2C"/>
    <w:rsid w:val="00792FD4"/>
    <w:rsid w:val="007930FB"/>
    <w:rsid w:val="00793370"/>
    <w:rsid w:val="00793428"/>
    <w:rsid w:val="007936A9"/>
    <w:rsid w:val="007937F5"/>
    <w:rsid w:val="007939E6"/>
    <w:rsid w:val="007939F7"/>
    <w:rsid w:val="00793A78"/>
    <w:rsid w:val="00793B31"/>
    <w:rsid w:val="00793B42"/>
    <w:rsid w:val="00793BC7"/>
    <w:rsid w:val="00793EF6"/>
    <w:rsid w:val="00793F08"/>
    <w:rsid w:val="00793F26"/>
    <w:rsid w:val="00794249"/>
    <w:rsid w:val="00794599"/>
    <w:rsid w:val="007949D2"/>
    <w:rsid w:val="00794A3A"/>
    <w:rsid w:val="00794B66"/>
    <w:rsid w:val="00794BBA"/>
    <w:rsid w:val="00794C57"/>
    <w:rsid w:val="00794CE0"/>
    <w:rsid w:val="007950B1"/>
    <w:rsid w:val="007952B4"/>
    <w:rsid w:val="007953CE"/>
    <w:rsid w:val="00795631"/>
    <w:rsid w:val="0079576E"/>
    <w:rsid w:val="00795812"/>
    <w:rsid w:val="00795847"/>
    <w:rsid w:val="00795918"/>
    <w:rsid w:val="00795A00"/>
    <w:rsid w:val="00795A3D"/>
    <w:rsid w:val="00795D70"/>
    <w:rsid w:val="00795EC1"/>
    <w:rsid w:val="00795F43"/>
    <w:rsid w:val="0079602D"/>
    <w:rsid w:val="00796263"/>
    <w:rsid w:val="0079634A"/>
    <w:rsid w:val="00796656"/>
    <w:rsid w:val="00796701"/>
    <w:rsid w:val="0079682A"/>
    <w:rsid w:val="00796A61"/>
    <w:rsid w:val="00796BBD"/>
    <w:rsid w:val="00796C43"/>
    <w:rsid w:val="00796CAE"/>
    <w:rsid w:val="00796F82"/>
    <w:rsid w:val="00796FDF"/>
    <w:rsid w:val="007973CA"/>
    <w:rsid w:val="00797503"/>
    <w:rsid w:val="007979AC"/>
    <w:rsid w:val="00797AC0"/>
    <w:rsid w:val="00797E6C"/>
    <w:rsid w:val="00797E93"/>
    <w:rsid w:val="007A01D0"/>
    <w:rsid w:val="007A023E"/>
    <w:rsid w:val="007A02E5"/>
    <w:rsid w:val="007A0354"/>
    <w:rsid w:val="007A04B0"/>
    <w:rsid w:val="007A07FD"/>
    <w:rsid w:val="007A0831"/>
    <w:rsid w:val="007A0ACE"/>
    <w:rsid w:val="007A0D0C"/>
    <w:rsid w:val="007A0D65"/>
    <w:rsid w:val="007A0D6A"/>
    <w:rsid w:val="007A0DF5"/>
    <w:rsid w:val="007A0E01"/>
    <w:rsid w:val="007A0FA3"/>
    <w:rsid w:val="007A1215"/>
    <w:rsid w:val="007A12E2"/>
    <w:rsid w:val="007A1471"/>
    <w:rsid w:val="007A16D7"/>
    <w:rsid w:val="007A1787"/>
    <w:rsid w:val="007A1792"/>
    <w:rsid w:val="007A17B3"/>
    <w:rsid w:val="007A1C4D"/>
    <w:rsid w:val="007A1CFD"/>
    <w:rsid w:val="007A1EB4"/>
    <w:rsid w:val="007A20BB"/>
    <w:rsid w:val="007A22AA"/>
    <w:rsid w:val="007A232F"/>
    <w:rsid w:val="007A2573"/>
    <w:rsid w:val="007A29F9"/>
    <w:rsid w:val="007A2A47"/>
    <w:rsid w:val="007A2CAC"/>
    <w:rsid w:val="007A2D82"/>
    <w:rsid w:val="007A2E90"/>
    <w:rsid w:val="007A2F17"/>
    <w:rsid w:val="007A361E"/>
    <w:rsid w:val="007A36A4"/>
    <w:rsid w:val="007A36A9"/>
    <w:rsid w:val="007A3AA1"/>
    <w:rsid w:val="007A3B23"/>
    <w:rsid w:val="007A3CCA"/>
    <w:rsid w:val="007A3D1E"/>
    <w:rsid w:val="007A3E47"/>
    <w:rsid w:val="007A3E7F"/>
    <w:rsid w:val="007A3F61"/>
    <w:rsid w:val="007A4019"/>
    <w:rsid w:val="007A41B2"/>
    <w:rsid w:val="007A4726"/>
    <w:rsid w:val="007A47C1"/>
    <w:rsid w:val="007A4ADC"/>
    <w:rsid w:val="007A4C75"/>
    <w:rsid w:val="007A4CA3"/>
    <w:rsid w:val="007A4E0E"/>
    <w:rsid w:val="007A5040"/>
    <w:rsid w:val="007A5124"/>
    <w:rsid w:val="007A5187"/>
    <w:rsid w:val="007A521C"/>
    <w:rsid w:val="007A52AB"/>
    <w:rsid w:val="007A5457"/>
    <w:rsid w:val="007A54E6"/>
    <w:rsid w:val="007A56B3"/>
    <w:rsid w:val="007A57F7"/>
    <w:rsid w:val="007A58BD"/>
    <w:rsid w:val="007A58CB"/>
    <w:rsid w:val="007A5ADD"/>
    <w:rsid w:val="007A5C23"/>
    <w:rsid w:val="007A5F77"/>
    <w:rsid w:val="007A6700"/>
    <w:rsid w:val="007A680F"/>
    <w:rsid w:val="007A6974"/>
    <w:rsid w:val="007A6A9E"/>
    <w:rsid w:val="007A6BCA"/>
    <w:rsid w:val="007A6F5D"/>
    <w:rsid w:val="007A7630"/>
    <w:rsid w:val="007A78A5"/>
    <w:rsid w:val="007A7BEA"/>
    <w:rsid w:val="007A7CA8"/>
    <w:rsid w:val="007A7D0D"/>
    <w:rsid w:val="007A7E26"/>
    <w:rsid w:val="007B0150"/>
    <w:rsid w:val="007B0319"/>
    <w:rsid w:val="007B033B"/>
    <w:rsid w:val="007B035B"/>
    <w:rsid w:val="007B03D4"/>
    <w:rsid w:val="007B049B"/>
    <w:rsid w:val="007B0921"/>
    <w:rsid w:val="007B09F4"/>
    <w:rsid w:val="007B0A36"/>
    <w:rsid w:val="007B0EA3"/>
    <w:rsid w:val="007B175E"/>
    <w:rsid w:val="007B17A7"/>
    <w:rsid w:val="007B17C5"/>
    <w:rsid w:val="007B1BB2"/>
    <w:rsid w:val="007B1BF5"/>
    <w:rsid w:val="007B1DDD"/>
    <w:rsid w:val="007B1F6B"/>
    <w:rsid w:val="007B1F7E"/>
    <w:rsid w:val="007B2209"/>
    <w:rsid w:val="007B2478"/>
    <w:rsid w:val="007B25B0"/>
    <w:rsid w:val="007B2744"/>
    <w:rsid w:val="007B28B8"/>
    <w:rsid w:val="007B292E"/>
    <w:rsid w:val="007B2D06"/>
    <w:rsid w:val="007B2E26"/>
    <w:rsid w:val="007B3090"/>
    <w:rsid w:val="007B315F"/>
    <w:rsid w:val="007B3197"/>
    <w:rsid w:val="007B33A6"/>
    <w:rsid w:val="007B3402"/>
    <w:rsid w:val="007B35FA"/>
    <w:rsid w:val="007B3789"/>
    <w:rsid w:val="007B3AE4"/>
    <w:rsid w:val="007B3D16"/>
    <w:rsid w:val="007B3DA2"/>
    <w:rsid w:val="007B3DEB"/>
    <w:rsid w:val="007B3E3D"/>
    <w:rsid w:val="007B40C0"/>
    <w:rsid w:val="007B4250"/>
    <w:rsid w:val="007B4E56"/>
    <w:rsid w:val="007B4F14"/>
    <w:rsid w:val="007B501F"/>
    <w:rsid w:val="007B5114"/>
    <w:rsid w:val="007B513C"/>
    <w:rsid w:val="007B5403"/>
    <w:rsid w:val="007B565E"/>
    <w:rsid w:val="007B5751"/>
    <w:rsid w:val="007B5766"/>
    <w:rsid w:val="007B58AE"/>
    <w:rsid w:val="007B59DD"/>
    <w:rsid w:val="007B5BF3"/>
    <w:rsid w:val="007B5C9B"/>
    <w:rsid w:val="007B5DE1"/>
    <w:rsid w:val="007B600F"/>
    <w:rsid w:val="007B6084"/>
    <w:rsid w:val="007B6105"/>
    <w:rsid w:val="007B64AD"/>
    <w:rsid w:val="007B64D3"/>
    <w:rsid w:val="007B6539"/>
    <w:rsid w:val="007B6577"/>
    <w:rsid w:val="007B65FE"/>
    <w:rsid w:val="007B6678"/>
    <w:rsid w:val="007B66C5"/>
    <w:rsid w:val="007B67C1"/>
    <w:rsid w:val="007B67D9"/>
    <w:rsid w:val="007B67ED"/>
    <w:rsid w:val="007B6910"/>
    <w:rsid w:val="007B6ACB"/>
    <w:rsid w:val="007B6CBD"/>
    <w:rsid w:val="007B6D80"/>
    <w:rsid w:val="007B6ED3"/>
    <w:rsid w:val="007B6FFD"/>
    <w:rsid w:val="007B7005"/>
    <w:rsid w:val="007B7123"/>
    <w:rsid w:val="007B71D6"/>
    <w:rsid w:val="007B77A8"/>
    <w:rsid w:val="007B780E"/>
    <w:rsid w:val="007B782F"/>
    <w:rsid w:val="007B787F"/>
    <w:rsid w:val="007B792E"/>
    <w:rsid w:val="007B79AD"/>
    <w:rsid w:val="007B79B0"/>
    <w:rsid w:val="007C0050"/>
    <w:rsid w:val="007C021D"/>
    <w:rsid w:val="007C03B6"/>
    <w:rsid w:val="007C03EF"/>
    <w:rsid w:val="007C0400"/>
    <w:rsid w:val="007C07AF"/>
    <w:rsid w:val="007C07D5"/>
    <w:rsid w:val="007C08BD"/>
    <w:rsid w:val="007C0989"/>
    <w:rsid w:val="007C0A5F"/>
    <w:rsid w:val="007C0C1B"/>
    <w:rsid w:val="007C0EB3"/>
    <w:rsid w:val="007C1092"/>
    <w:rsid w:val="007C11D5"/>
    <w:rsid w:val="007C1328"/>
    <w:rsid w:val="007C15DC"/>
    <w:rsid w:val="007C16AF"/>
    <w:rsid w:val="007C18A7"/>
    <w:rsid w:val="007C1C70"/>
    <w:rsid w:val="007C2102"/>
    <w:rsid w:val="007C2316"/>
    <w:rsid w:val="007C254A"/>
    <w:rsid w:val="007C2C55"/>
    <w:rsid w:val="007C2D74"/>
    <w:rsid w:val="007C3005"/>
    <w:rsid w:val="007C32BD"/>
    <w:rsid w:val="007C33D8"/>
    <w:rsid w:val="007C3651"/>
    <w:rsid w:val="007C3683"/>
    <w:rsid w:val="007C39CD"/>
    <w:rsid w:val="007C3B46"/>
    <w:rsid w:val="007C3EA0"/>
    <w:rsid w:val="007C3F92"/>
    <w:rsid w:val="007C4056"/>
    <w:rsid w:val="007C4314"/>
    <w:rsid w:val="007C44CC"/>
    <w:rsid w:val="007C44E7"/>
    <w:rsid w:val="007C4787"/>
    <w:rsid w:val="007C47AE"/>
    <w:rsid w:val="007C4A51"/>
    <w:rsid w:val="007C4C58"/>
    <w:rsid w:val="007C4D36"/>
    <w:rsid w:val="007C4DC7"/>
    <w:rsid w:val="007C4E8E"/>
    <w:rsid w:val="007C4ED5"/>
    <w:rsid w:val="007C50EB"/>
    <w:rsid w:val="007C51B8"/>
    <w:rsid w:val="007C52AF"/>
    <w:rsid w:val="007C52C2"/>
    <w:rsid w:val="007C5552"/>
    <w:rsid w:val="007C56A8"/>
    <w:rsid w:val="007C574C"/>
    <w:rsid w:val="007C5C64"/>
    <w:rsid w:val="007C5E67"/>
    <w:rsid w:val="007C6055"/>
    <w:rsid w:val="007C6291"/>
    <w:rsid w:val="007C635C"/>
    <w:rsid w:val="007C63AF"/>
    <w:rsid w:val="007C6650"/>
    <w:rsid w:val="007C6702"/>
    <w:rsid w:val="007C6839"/>
    <w:rsid w:val="007C6857"/>
    <w:rsid w:val="007C6AD9"/>
    <w:rsid w:val="007C6C12"/>
    <w:rsid w:val="007C6C3F"/>
    <w:rsid w:val="007C6C89"/>
    <w:rsid w:val="007C6EB8"/>
    <w:rsid w:val="007C7036"/>
    <w:rsid w:val="007C7290"/>
    <w:rsid w:val="007C73E2"/>
    <w:rsid w:val="007C7507"/>
    <w:rsid w:val="007C751D"/>
    <w:rsid w:val="007C771B"/>
    <w:rsid w:val="007C7902"/>
    <w:rsid w:val="007C7A71"/>
    <w:rsid w:val="007C7B31"/>
    <w:rsid w:val="007C7B60"/>
    <w:rsid w:val="007C7BBB"/>
    <w:rsid w:val="007C7C2A"/>
    <w:rsid w:val="007C7EBE"/>
    <w:rsid w:val="007C7FEA"/>
    <w:rsid w:val="007D00E7"/>
    <w:rsid w:val="007D01A7"/>
    <w:rsid w:val="007D0251"/>
    <w:rsid w:val="007D029A"/>
    <w:rsid w:val="007D0302"/>
    <w:rsid w:val="007D057E"/>
    <w:rsid w:val="007D0880"/>
    <w:rsid w:val="007D0907"/>
    <w:rsid w:val="007D09F6"/>
    <w:rsid w:val="007D0AE2"/>
    <w:rsid w:val="007D0B06"/>
    <w:rsid w:val="007D0B2B"/>
    <w:rsid w:val="007D0B46"/>
    <w:rsid w:val="007D0CAB"/>
    <w:rsid w:val="007D0E34"/>
    <w:rsid w:val="007D0F17"/>
    <w:rsid w:val="007D13B2"/>
    <w:rsid w:val="007D13BC"/>
    <w:rsid w:val="007D1623"/>
    <w:rsid w:val="007D1737"/>
    <w:rsid w:val="007D1A15"/>
    <w:rsid w:val="007D1BF1"/>
    <w:rsid w:val="007D203E"/>
    <w:rsid w:val="007D2179"/>
    <w:rsid w:val="007D2181"/>
    <w:rsid w:val="007D21B1"/>
    <w:rsid w:val="007D2352"/>
    <w:rsid w:val="007D239F"/>
    <w:rsid w:val="007D2634"/>
    <w:rsid w:val="007D2651"/>
    <w:rsid w:val="007D2AA0"/>
    <w:rsid w:val="007D2C3B"/>
    <w:rsid w:val="007D2DFC"/>
    <w:rsid w:val="007D2E9B"/>
    <w:rsid w:val="007D2FD4"/>
    <w:rsid w:val="007D3026"/>
    <w:rsid w:val="007D3139"/>
    <w:rsid w:val="007D31E4"/>
    <w:rsid w:val="007D32AA"/>
    <w:rsid w:val="007D3389"/>
    <w:rsid w:val="007D348D"/>
    <w:rsid w:val="007D37A8"/>
    <w:rsid w:val="007D385D"/>
    <w:rsid w:val="007D38D4"/>
    <w:rsid w:val="007D3912"/>
    <w:rsid w:val="007D3AA0"/>
    <w:rsid w:val="007D3B2F"/>
    <w:rsid w:val="007D3D94"/>
    <w:rsid w:val="007D3E53"/>
    <w:rsid w:val="007D3F6B"/>
    <w:rsid w:val="007D4281"/>
    <w:rsid w:val="007D4438"/>
    <w:rsid w:val="007D44D2"/>
    <w:rsid w:val="007D45BF"/>
    <w:rsid w:val="007D4617"/>
    <w:rsid w:val="007D47C5"/>
    <w:rsid w:val="007D47E1"/>
    <w:rsid w:val="007D4CAA"/>
    <w:rsid w:val="007D4DA4"/>
    <w:rsid w:val="007D4E86"/>
    <w:rsid w:val="007D4F5B"/>
    <w:rsid w:val="007D5157"/>
    <w:rsid w:val="007D58BF"/>
    <w:rsid w:val="007D5AAA"/>
    <w:rsid w:val="007D5B2A"/>
    <w:rsid w:val="007D5C91"/>
    <w:rsid w:val="007D5D46"/>
    <w:rsid w:val="007D5E89"/>
    <w:rsid w:val="007D6124"/>
    <w:rsid w:val="007D63C9"/>
    <w:rsid w:val="007D64A8"/>
    <w:rsid w:val="007D6606"/>
    <w:rsid w:val="007D6621"/>
    <w:rsid w:val="007D6707"/>
    <w:rsid w:val="007D671E"/>
    <w:rsid w:val="007D67C8"/>
    <w:rsid w:val="007D6AF6"/>
    <w:rsid w:val="007D6C10"/>
    <w:rsid w:val="007D6C8F"/>
    <w:rsid w:val="007D718A"/>
    <w:rsid w:val="007D76C1"/>
    <w:rsid w:val="007D784B"/>
    <w:rsid w:val="007D7964"/>
    <w:rsid w:val="007D7BD9"/>
    <w:rsid w:val="007D7DD2"/>
    <w:rsid w:val="007E0584"/>
    <w:rsid w:val="007E05F7"/>
    <w:rsid w:val="007E0730"/>
    <w:rsid w:val="007E07FF"/>
    <w:rsid w:val="007E085E"/>
    <w:rsid w:val="007E0875"/>
    <w:rsid w:val="007E09E2"/>
    <w:rsid w:val="007E0B74"/>
    <w:rsid w:val="007E0BA1"/>
    <w:rsid w:val="007E0E99"/>
    <w:rsid w:val="007E0EE5"/>
    <w:rsid w:val="007E1297"/>
    <w:rsid w:val="007E142C"/>
    <w:rsid w:val="007E14E4"/>
    <w:rsid w:val="007E1820"/>
    <w:rsid w:val="007E184B"/>
    <w:rsid w:val="007E1861"/>
    <w:rsid w:val="007E191B"/>
    <w:rsid w:val="007E1CF6"/>
    <w:rsid w:val="007E20A6"/>
    <w:rsid w:val="007E20FA"/>
    <w:rsid w:val="007E24DF"/>
    <w:rsid w:val="007E2514"/>
    <w:rsid w:val="007E26DD"/>
    <w:rsid w:val="007E29C4"/>
    <w:rsid w:val="007E2AA3"/>
    <w:rsid w:val="007E2BA0"/>
    <w:rsid w:val="007E2BFE"/>
    <w:rsid w:val="007E2D88"/>
    <w:rsid w:val="007E2EEF"/>
    <w:rsid w:val="007E3191"/>
    <w:rsid w:val="007E335D"/>
    <w:rsid w:val="007E339E"/>
    <w:rsid w:val="007E34EF"/>
    <w:rsid w:val="007E35C9"/>
    <w:rsid w:val="007E3639"/>
    <w:rsid w:val="007E3AAB"/>
    <w:rsid w:val="007E3AD9"/>
    <w:rsid w:val="007E3B68"/>
    <w:rsid w:val="007E3B7B"/>
    <w:rsid w:val="007E3B96"/>
    <w:rsid w:val="007E3CE0"/>
    <w:rsid w:val="007E3D3C"/>
    <w:rsid w:val="007E3DFC"/>
    <w:rsid w:val="007E3E2E"/>
    <w:rsid w:val="007E4293"/>
    <w:rsid w:val="007E45A5"/>
    <w:rsid w:val="007E46DD"/>
    <w:rsid w:val="007E48ED"/>
    <w:rsid w:val="007E4A1B"/>
    <w:rsid w:val="007E4ED1"/>
    <w:rsid w:val="007E55F4"/>
    <w:rsid w:val="007E56AF"/>
    <w:rsid w:val="007E56CF"/>
    <w:rsid w:val="007E5C81"/>
    <w:rsid w:val="007E5D73"/>
    <w:rsid w:val="007E6128"/>
    <w:rsid w:val="007E628F"/>
    <w:rsid w:val="007E6294"/>
    <w:rsid w:val="007E632B"/>
    <w:rsid w:val="007E6764"/>
    <w:rsid w:val="007E6839"/>
    <w:rsid w:val="007E6873"/>
    <w:rsid w:val="007E6936"/>
    <w:rsid w:val="007E6E65"/>
    <w:rsid w:val="007E70B2"/>
    <w:rsid w:val="007E746E"/>
    <w:rsid w:val="007E7978"/>
    <w:rsid w:val="007E7BC0"/>
    <w:rsid w:val="007F0406"/>
    <w:rsid w:val="007F0571"/>
    <w:rsid w:val="007F07F5"/>
    <w:rsid w:val="007F080E"/>
    <w:rsid w:val="007F0868"/>
    <w:rsid w:val="007F08EC"/>
    <w:rsid w:val="007F0914"/>
    <w:rsid w:val="007F0AC0"/>
    <w:rsid w:val="007F0BD1"/>
    <w:rsid w:val="007F0CB7"/>
    <w:rsid w:val="007F0ED8"/>
    <w:rsid w:val="007F0F94"/>
    <w:rsid w:val="007F1029"/>
    <w:rsid w:val="007F153E"/>
    <w:rsid w:val="007F1B13"/>
    <w:rsid w:val="007F1DA3"/>
    <w:rsid w:val="007F2051"/>
    <w:rsid w:val="007F211C"/>
    <w:rsid w:val="007F25ED"/>
    <w:rsid w:val="007F28B2"/>
    <w:rsid w:val="007F2962"/>
    <w:rsid w:val="007F2BD5"/>
    <w:rsid w:val="007F2BD8"/>
    <w:rsid w:val="007F2C51"/>
    <w:rsid w:val="007F2CFC"/>
    <w:rsid w:val="007F2F2B"/>
    <w:rsid w:val="007F2FAC"/>
    <w:rsid w:val="007F31AE"/>
    <w:rsid w:val="007F33AB"/>
    <w:rsid w:val="007F341A"/>
    <w:rsid w:val="007F3572"/>
    <w:rsid w:val="007F362D"/>
    <w:rsid w:val="007F3754"/>
    <w:rsid w:val="007F37DB"/>
    <w:rsid w:val="007F3822"/>
    <w:rsid w:val="007F3967"/>
    <w:rsid w:val="007F3987"/>
    <w:rsid w:val="007F3AE7"/>
    <w:rsid w:val="007F3CE3"/>
    <w:rsid w:val="007F3EEA"/>
    <w:rsid w:val="007F40AB"/>
    <w:rsid w:val="007F4211"/>
    <w:rsid w:val="007F4273"/>
    <w:rsid w:val="007F435D"/>
    <w:rsid w:val="007F43C9"/>
    <w:rsid w:val="007F43D6"/>
    <w:rsid w:val="007F4417"/>
    <w:rsid w:val="007F4690"/>
    <w:rsid w:val="007F46CF"/>
    <w:rsid w:val="007F4714"/>
    <w:rsid w:val="007F52E2"/>
    <w:rsid w:val="007F550F"/>
    <w:rsid w:val="007F55FE"/>
    <w:rsid w:val="007F5720"/>
    <w:rsid w:val="007F5779"/>
    <w:rsid w:val="007F5897"/>
    <w:rsid w:val="007F5A9F"/>
    <w:rsid w:val="007F5E15"/>
    <w:rsid w:val="007F5E1E"/>
    <w:rsid w:val="007F6127"/>
    <w:rsid w:val="007F629F"/>
    <w:rsid w:val="007F6708"/>
    <w:rsid w:val="007F6754"/>
    <w:rsid w:val="007F6DCE"/>
    <w:rsid w:val="007F6E68"/>
    <w:rsid w:val="007F6F2B"/>
    <w:rsid w:val="007F701D"/>
    <w:rsid w:val="007F7316"/>
    <w:rsid w:val="007F7419"/>
    <w:rsid w:val="007F76BB"/>
    <w:rsid w:val="007F7B71"/>
    <w:rsid w:val="007F7C4F"/>
    <w:rsid w:val="007F7E0E"/>
    <w:rsid w:val="007F7F1E"/>
    <w:rsid w:val="007F7F5F"/>
    <w:rsid w:val="00800062"/>
    <w:rsid w:val="0080032C"/>
    <w:rsid w:val="008005E3"/>
    <w:rsid w:val="00800746"/>
    <w:rsid w:val="008009F4"/>
    <w:rsid w:val="00800A06"/>
    <w:rsid w:val="00800A2D"/>
    <w:rsid w:val="00800B77"/>
    <w:rsid w:val="00800C8B"/>
    <w:rsid w:val="00800E50"/>
    <w:rsid w:val="00800FC4"/>
    <w:rsid w:val="0080130F"/>
    <w:rsid w:val="008013E3"/>
    <w:rsid w:val="0080180B"/>
    <w:rsid w:val="008019B4"/>
    <w:rsid w:val="00801B36"/>
    <w:rsid w:val="00801B80"/>
    <w:rsid w:val="00801C88"/>
    <w:rsid w:val="00801EC3"/>
    <w:rsid w:val="00801ED8"/>
    <w:rsid w:val="008021CF"/>
    <w:rsid w:val="008021E0"/>
    <w:rsid w:val="0080248C"/>
    <w:rsid w:val="00802564"/>
    <w:rsid w:val="00802579"/>
    <w:rsid w:val="008026BF"/>
    <w:rsid w:val="008026D1"/>
    <w:rsid w:val="0080282E"/>
    <w:rsid w:val="00802862"/>
    <w:rsid w:val="008029A0"/>
    <w:rsid w:val="00802A28"/>
    <w:rsid w:val="00802B99"/>
    <w:rsid w:val="00802C04"/>
    <w:rsid w:val="00802C64"/>
    <w:rsid w:val="00802CB6"/>
    <w:rsid w:val="00802E05"/>
    <w:rsid w:val="00802E8B"/>
    <w:rsid w:val="00802F53"/>
    <w:rsid w:val="00802FC7"/>
    <w:rsid w:val="00803223"/>
    <w:rsid w:val="00803356"/>
    <w:rsid w:val="00803441"/>
    <w:rsid w:val="008034D9"/>
    <w:rsid w:val="0080352A"/>
    <w:rsid w:val="008035AA"/>
    <w:rsid w:val="008036AD"/>
    <w:rsid w:val="00803744"/>
    <w:rsid w:val="00803745"/>
    <w:rsid w:val="00803943"/>
    <w:rsid w:val="0080399C"/>
    <w:rsid w:val="008039F6"/>
    <w:rsid w:val="00803A9D"/>
    <w:rsid w:val="00803E65"/>
    <w:rsid w:val="00803F92"/>
    <w:rsid w:val="00804275"/>
    <w:rsid w:val="008042E1"/>
    <w:rsid w:val="008043CD"/>
    <w:rsid w:val="008046ED"/>
    <w:rsid w:val="008047FE"/>
    <w:rsid w:val="00804978"/>
    <w:rsid w:val="00804B58"/>
    <w:rsid w:val="00804ECF"/>
    <w:rsid w:val="00805021"/>
    <w:rsid w:val="008050C1"/>
    <w:rsid w:val="00805733"/>
    <w:rsid w:val="008059ED"/>
    <w:rsid w:val="00805A73"/>
    <w:rsid w:val="00805B94"/>
    <w:rsid w:val="00805D43"/>
    <w:rsid w:val="00805D64"/>
    <w:rsid w:val="00805D86"/>
    <w:rsid w:val="00805DB5"/>
    <w:rsid w:val="00805E07"/>
    <w:rsid w:val="00805E3B"/>
    <w:rsid w:val="00805E5B"/>
    <w:rsid w:val="00806038"/>
    <w:rsid w:val="00806168"/>
    <w:rsid w:val="00806238"/>
    <w:rsid w:val="008062D4"/>
    <w:rsid w:val="00806523"/>
    <w:rsid w:val="008065F1"/>
    <w:rsid w:val="00806628"/>
    <w:rsid w:val="008067FD"/>
    <w:rsid w:val="00806C56"/>
    <w:rsid w:val="00806CFA"/>
    <w:rsid w:val="00806E63"/>
    <w:rsid w:val="00807004"/>
    <w:rsid w:val="008070C2"/>
    <w:rsid w:val="00807366"/>
    <w:rsid w:val="008073B2"/>
    <w:rsid w:val="00807458"/>
    <w:rsid w:val="008076DB"/>
    <w:rsid w:val="008078D0"/>
    <w:rsid w:val="00807ABE"/>
    <w:rsid w:val="00807B3D"/>
    <w:rsid w:val="00807B9B"/>
    <w:rsid w:val="00807BD9"/>
    <w:rsid w:val="00807D73"/>
    <w:rsid w:val="00807DED"/>
    <w:rsid w:val="00807EA7"/>
    <w:rsid w:val="00807F4A"/>
    <w:rsid w:val="008101BA"/>
    <w:rsid w:val="00810934"/>
    <w:rsid w:val="008109D0"/>
    <w:rsid w:val="00810AB3"/>
    <w:rsid w:val="00810D0B"/>
    <w:rsid w:val="00810F87"/>
    <w:rsid w:val="00811088"/>
    <w:rsid w:val="0081126F"/>
    <w:rsid w:val="008114C5"/>
    <w:rsid w:val="0081159F"/>
    <w:rsid w:val="0081169D"/>
    <w:rsid w:val="00811F12"/>
    <w:rsid w:val="00812ACC"/>
    <w:rsid w:val="00812ACF"/>
    <w:rsid w:val="00812C38"/>
    <w:rsid w:val="00812C63"/>
    <w:rsid w:val="00812D49"/>
    <w:rsid w:val="00812DB6"/>
    <w:rsid w:val="0081313F"/>
    <w:rsid w:val="00813297"/>
    <w:rsid w:val="0081330D"/>
    <w:rsid w:val="00813397"/>
    <w:rsid w:val="008133B7"/>
    <w:rsid w:val="008133D4"/>
    <w:rsid w:val="0081350A"/>
    <w:rsid w:val="008135A9"/>
    <w:rsid w:val="008136AD"/>
    <w:rsid w:val="008139DC"/>
    <w:rsid w:val="00813B09"/>
    <w:rsid w:val="00813C6A"/>
    <w:rsid w:val="00813D46"/>
    <w:rsid w:val="00813DF9"/>
    <w:rsid w:val="00813E7F"/>
    <w:rsid w:val="00813F2C"/>
    <w:rsid w:val="00813FAA"/>
    <w:rsid w:val="00814025"/>
    <w:rsid w:val="008146E9"/>
    <w:rsid w:val="00814794"/>
    <w:rsid w:val="008149C7"/>
    <w:rsid w:val="008149FD"/>
    <w:rsid w:val="00814D14"/>
    <w:rsid w:val="00814D4A"/>
    <w:rsid w:val="00814D68"/>
    <w:rsid w:val="00814F0E"/>
    <w:rsid w:val="00814F61"/>
    <w:rsid w:val="00814F71"/>
    <w:rsid w:val="00814F7B"/>
    <w:rsid w:val="0081503B"/>
    <w:rsid w:val="008150EC"/>
    <w:rsid w:val="008151CE"/>
    <w:rsid w:val="0081537E"/>
    <w:rsid w:val="0081580B"/>
    <w:rsid w:val="00815925"/>
    <w:rsid w:val="008159EE"/>
    <w:rsid w:val="00815B07"/>
    <w:rsid w:val="00815B61"/>
    <w:rsid w:val="00815ED6"/>
    <w:rsid w:val="008160AB"/>
    <w:rsid w:val="00816317"/>
    <w:rsid w:val="00816386"/>
    <w:rsid w:val="0081661A"/>
    <w:rsid w:val="00816978"/>
    <w:rsid w:val="008169AC"/>
    <w:rsid w:val="00816A5E"/>
    <w:rsid w:val="00816D1B"/>
    <w:rsid w:val="00816E9C"/>
    <w:rsid w:val="0081721B"/>
    <w:rsid w:val="008175F8"/>
    <w:rsid w:val="00817642"/>
    <w:rsid w:val="0081765C"/>
    <w:rsid w:val="00817CD4"/>
    <w:rsid w:val="00817D50"/>
    <w:rsid w:val="00817DBB"/>
    <w:rsid w:val="00817F9C"/>
    <w:rsid w:val="00817FFA"/>
    <w:rsid w:val="008200CF"/>
    <w:rsid w:val="00820366"/>
    <w:rsid w:val="0082071B"/>
    <w:rsid w:val="00820AD1"/>
    <w:rsid w:val="00820BAA"/>
    <w:rsid w:val="00820D47"/>
    <w:rsid w:val="00820EA7"/>
    <w:rsid w:val="00820EC2"/>
    <w:rsid w:val="00820F94"/>
    <w:rsid w:val="00821018"/>
    <w:rsid w:val="00821092"/>
    <w:rsid w:val="0082110B"/>
    <w:rsid w:val="00821570"/>
    <w:rsid w:val="00821614"/>
    <w:rsid w:val="008218BF"/>
    <w:rsid w:val="00821ACE"/>
    <w:rsid w:val="00821C79"/>
    <w:rsid w:val="00821D4E"/>
    <w:rsid w:val="00821D51"/>
    <w:rsid w:val="00821F38"/>
    <w:rsid w:val="008220E0"/>
    <w:rsid w:val="008220E1"/>
    <w:rsid w:val="00822192"/>
    <w:rsid w:val="008221B0"/>
    <w:rsid w:val="0082237B"/>
    <w:rsid w:val="00822495"/>
    <w:rsid w:val="008227D5"/>
    <w:rsid w:val="008228F9"/>
    <w:rsid w:val="00822972"/>
    <w:rsid w:val="00822A4F"/>
    <w:rsid w:val="00822C40"/>
    <w:rsid w:val="00822D63"/>
    <w:rsid w:val="00822DBA"/>
    <w:rsid w:val="00822DCA"/>
    <w:rsid w:val="00822ED9"/>
    <w:rsid w:val="00822F21"/>
    <w:rsid w:val="00822FB3"/>
    <w:rsid w:val="008232BB"/>
    <w:rsid w:val="0082330E"/>
    <w:rsid w:val="00823342"/>
    <w:rsid w:val="00823420"/>
    <w:rsid w:val="008234F1"/>
    <w:rsid w:val="00823594"/>
    <w:rsid w:val="0082383B"/>
    <w:rsid w:val="0082398B"/>
    <w:rsid w:val="00823E40"/>
    <w:rsid w:val="00823FD0"/>
    <w:rsid w:val="00824077"/>
    <w:rsid w:val="0082416B"/>
    <w:rsid w:val="0082417E"/>
    <w:rsid w:val="00824263"/>
    <w:rsid w:val="008246CF"/>
    <w:rsid w:val="0082488D"/>
    <w:rsid w:val="00824949"/>
    <w:rsid w:val="0082496D"/>
    <w:rsid w:val="00824AE3"/>
    <w:rsid w:val="00824C1D"/>
    <w:rsid w:val="00824CBF"/>
    <w:rsid w:val="00824DE7"/>
    <w:rsid w:val="00825002"/>
    <w:rsid w:val="0082511D"/>
    <w:rsid w:val="00825129"/>
    <w:rsid w:val="00825280"/>
    <w:rsid w:val="0082536E"/>
    <w:rsid w:val="00825523"/>
    <w:rsid w:val="008255BA"/>
    <w:rsid w:val="008256AA"/>
    <w:rsid w:val="008256BB"/>
    <w:rsid w:val="008257B6"/>
    <w:rsid w:val="00825809"/>
    <w:rsid w:val="00825A8C"/>
    <w:rsid w:val="00825BB0"/>
    <w:rsid w:val="00825C29"/>
    <w:rsid w:val="00825CDD"/>
    <w:rsid w:val="00825F34"/>
    <w:rsid w:val="008262E1"/>
    <w:rsid w:val="00826412"/>
    <w:rsid w:val="008264BC"/>
    <w:rsid w:val="00826769"/>
    <w:rsid w:val="00826830"/>
    <w:rsid w:val="00826CB4"/>
    <w:rsid w:val="00826DC8"/>
    <w:rsid w:val="00826EFA"/>
    <w:rsid w:val="00827140"/>
    <w:rsid w:val="00827235"/>
    <w:rsid w:val="008273C3"/>
    <w:rsid w:val="008273C6"/>
    <w:rsid w:val="00827401"/>
    <w:rsid w:val="008274CB"/>
    <w:rsid w:val="00827532"/>
    <w:rsid w:val="00827665"/>
    <w:rsid w:val="008277C6"/>
    <w:rsid w:val="00827AEC"/>
    <w:rsid w:val="00827BAC"/>
    <w:rsid w:val="00827C3D"/>
    <w:rsid w:val="00827EAA"/>
    <w:rsid w:val="00827EEE"/>
    <w:rsid w:val="00827FC9"/>
    <w:rsid w:val="00830100"/>
    <w:rsid w:val="0083016A"/>
    <w:rsid w:val="00830172"/>
    <w:rsid w:val="00830698"/>
    <w:rsid w:val="008306EB"/>
    <w:rsid w:val="008306EC"/>
    <w:rsid w:val="008308C1"/>
    <w:rsid w:val="008309D3"/>
    <w:rsid w:val="00830AEA"/>
    <w:rsid w:val="00830D8D"/>
    <w:rsid w:val="00830EED"/>
    <w:rsid w:val="0083113A"/>
    <w:rsid w:val="008312EF"/>
    <w:rsid w:val="0083144C"/>
    <w:rsid w:val="008318DA"/>
    <w:rsid w:val="00831A61"/>
    <w:rsid w:val="00831BFE"/>
    <w:rsid w:val="00831F23"/>
    <w:rsid w:val="00832014"/>
    <w:rsid w:val="0083216E"/>
    <w:rsid w:val="008326B6"/>
    <w:rsid w:val="00832842"/>
    <w:rsid w:val="00832886"/>
    <w:rsid w:val="00832A28"/>
    <w:rsid w:val="00832C9F"/>
    <w:rsid w:val="00832CF0"/>
    <w:rsid w:val="00832E9F"/>
    <w:rsid w:val="00832F2E"/>
    <w:rsid w:val="00832FEF"/>
    <w:rsid w:val="00833053"/>
    <w:rsid w:val="008330D9"/>
    <w:rsid w:val="008333D4"/>
    <w:rsid w:val="0083344C"/>
    <w:rsid w:val="008335E1"/>
    <w:rsid w:val="0083383B"/>
    <w:rsid w:val="00833B31"/>
    <w:rsid w:val="00834025"/>
    <w:rsid w:val="0083402E"/>
    <w:rsid w:val="008340C2"/>
    <w:rsid w:val="0083418A"/>
    <w:rsid w:val="00834346"/>
    <w:rsid w:val="0083469F"/>
    <w:rsid w:val="00834788"/>
    <w:rsid w:val="008347B5"/>
    <w:rsid w:val="008348DC"/>
    <w:rsid w:val="00834A51"/>
    <w:rsid w:val="00834B92"/>
    <w:rsid w:val="00834CED"/>
    <w:rsid w:val="00834CF9"/>
    <w:rsid w:val="008350FD"/>
    <w:rsid w:val="008351A0"/>
    <w:rsid w:val="0083530F"/>
    <w:rsid w:val="0083542A"/>
    <w:rsid w:val="00835829"/>
    <w:rsid w:val="0083582F"/>
    <w:rsid w:val="00835A42"/>
    <w:rsid w:val="00835B34"/>
    <w:rsid w:val="00835DCC"/>
    <w:rsid w:val="00835FD8"/>
    <w:rsid w:val="00836390"/>
    <w:rsid w:val="00836937"/>
    <w:rsid w:val="00836AFD"/>
    <w:rsid w:val="00836B9B"/>
    <w:rsid w:val="00836C89"/>
    <w:rsid w:val="00836E3B"/>
    <w:rsid w:val="00837097"/>
    <w:rsid w:val="008370DF"/>
    <w:rsid w:val="008371DB"/>
    <w:rsid w:val="00837466"/>
    <w:rsid w:val="00837509"/>
    <w:rsid w:val="008379B4"/>
    <w:rsid w:val="00837A50"/>
    <w:rsid w:val="00837B0C"/>
    <w:rsid w:val="00837B41"/>
    <w:rsid w:val="00837DB1"/>
    <w:rsid w:val="00837F09"/>
    <w:rsid w:val="00837F8C"/>
    <w:rsid w:val="00837FD8"/>
    <w:rsid w:val="00840082"/>
    <w:rsid w:val="008403B9"/>
    <w:rsid w:val="008403CF"/>
    <w:rsid w:val="008404CB"/>
    <w:rsid w:val="00840670"/>
    <w:rsid w:val="00840953"/>
    <w:rsid w:val="00840C65"/>
    <w:rsid w:val="00840E7D"/>
    <w:rsid w:val="00841234"/>
    <w:rsid w:val="00841265"/>
    <w:rsid w:val="00841286"/>
    <w:rsid w:val="00841472"/>
    <w:rsid w:val="00841A01"/>
    <w:rsid w:val="00841A50"/>
    <w:rsid w:val="00841A9C"/>
    <w:rsid w:val="00841B13"/>
    <w:rsid w:val="00841D9B"/>
    <w:rsid w:val="00841FB9"/>
    <w:rsid w:val="008428F8"/>
    <w:rsid w:val="00842AD4"/>
    <w:rsid w:val="00842D03"/>
    <w:rsid w:val="00842D4A"/>
    <w:rsid w:val="00842F36"/>
    <w:rsid w:val="00843072"/>
    <w:rsid w:val="008430E1"/>
    <w:rsid w:val="008431C3"/>
    <w:rsid w:val="0084329F"/>
    <w:rsid w:val="0084330C"/>
    <w:rsid w:val="008436C4"/>
    <w:rsid w:val="0084381C"/>
    <w:rsid w:val="008438AD"/>
    <w:rsid w:val="00843919"/>
    <w:rsid w:val="00843D4C"/>
    <w:rsid w:val="00843EBA"/>
    <w:rsid w:val="0084400D"/>
    <w:rsid w:val="00844280"/>
    <w:rsid w:val="008443C0"/>
    <w:rsid w:val="0084442B"/>
    <w:rsid w:val="008444F4"/>
    <w:rsid w:val="00844559"/>
    <w:rsid w:val="008446BB"/>
    <w:rsid w:val="008447CF"/>
    <w:rsid w:val="00844BC7"/>
    <w:rsid w:val="00844D11"/>
    <w:rsid w:val="00844E0C"/>
    <w:rsid w:val="00844ED5"/>
    <w:rsid w:val="00844F12"/>
    <w:rsid w:val="0084500C"/>
    <w:rsid w:val="0084501E"/>
    <w:rsid w:val="00845042"/>
    <w:rsid w:val="0084537C"/>
    <w:rsid w:val="00845828"/>
    <w:rsid w:val="00845868"/>
    <w:rsid w:val="008458C5"/>
    <w:rsid w:val="008459E8"/>
    <w:rsid w:val="00845A38"/>
    <w:rsid w:val="00845D05"/>
    <w:rsid w:val="00845D27"/>
    <w:rsid w:val="00845E65"/>
    <w:rsid w:val="00845E6E"/>
    <w:rsid w:val="0084603F"/>
    <w:rsid w:val="008460E3"/>
    <w:rsid w:val="00846223"/>
    <w:rsid w:val="008463ED"/>
    <w:rsid w:val="008466BE"/>
    <w:rsid w:val="0084673C"/>
    <w:rsid w:val="008469AD"/>
    <w:rsid w:val="008469FD"/>
    <w:rsid w:val="0084734E"/>
    <w:rsid w:val="008476EB"/>
    <w:rsid w:val="00847706"/>
    <w:rsid w:val="00847751"/>
    <w:rsid w:val="00847BDF"/>
    <w:rsid w:val="008505F5"/>
    <w:rsid w:val="0085060B"/>
    <w:rsid w:val="008509DC"/>
    <w:rsid w:val="00850A40"/>
    <w:rsid w:val="00850AB5"/>
    <w:rsid w:val="00850C58"/>
    <w:rsid w:val="00850CAD"/>
    <w:rsid w:val="00850CC1"/>
    <w:rsid w:val="00850EFA"/>
    <w:rsid w:val="00850F1C"/>
    <w:rsid w:val="00850F24"/>
    <w:rsid w:val="008510D8"/>
    <w:rsid w:val="00851121"/>
    <w:rsid w:val="0085113D"/>
    <w:rsid w:val="0085121A"/>
    <w:rsid w:val="00851333"/>
    <w:rsid w:val="0085144F"/>
    <w:rsid w:val="00851621"/>
    <w:rsid w:val="008517E0"/>
    <w:rsid w:val="008517E2"/>
    <w:rsid w:val="008518AF"/>
    <w:rsid w:val="00851933"/>
    <w:rsid w:val="00851DB3"/>
    <w:rsid w:val="00851DC7"/>
    <w:rsid w:val="00851ECF"/>
    <w:rsid w:val="00851F13"/>
    <w:rsid w:val="00851F5B"/>
    <w:rsid w:val="008527F8"/>
    <w:rsid w:val="008528E6"/>
    <w:rsid w:val="0085297B"/>
    <w:rsid w:val="00852985"/>
    <w:rsid w:val="00852CF8"/>
    <w:rsid w:val="00852DA8"/>
    <w:rsid w:val="008531A7"/>
    <w:rsid w:val="008532A2"/>
    <w:rsid w:val="00853394"/>
    <w:rsid w:val="00853399"/>
    <w:rsid w:val="00853548"/>
    <w:rsid w:val="0085382C"/>
    <w:rsid w:val="0085383E"/>
    <w:rsid w:val="00853898"/>
    <w:rsid w:val="00853903"/>
    <w:rsid w:val="00853953"/>
    <w:rsid w:val="008539A1"/>
    <w:rsid w:val="00853ABC"/>
    <w:rsid w:val="00853C1D"/>
    <w:rsid w:val="00853E29"/>
    <w:rsid w:val="00853F47"/>
    <w:rsid w:val="00853F8E"/>
    <w:rsid w:val="00854180"/>
    <w:rsid w:val="00854267"/>
    <w:rsid w:val="0085432A"/>
    <w:rsid w:val="0085438F"/>
    <w:rsid w:val="0085449E"/>
    <w:rsid w:val="00854553"/>
    <w:rsid w:val="0085478C"/>
    <w:rsid w:val="008549A8"/>
    <w:rsid w:val="00854AD4"/>
    <w:rsid w:val="00854B4E"/>
    <w:rsid w:val="00854B76"/>
    <w:rsid w:val="00854E1E"/>
    <w:rsid w:val="00854EB5"/>
    <w:rsid w:val="008551D2"/>
    <w:rsid w:val="00855322"/>
    <w:rsid w:val="0085572F"/>
    <w:rsid w:val="00855870"/>
    <w:rsid w:val="00855913"/>
    <w:rsid w:val="0085596A"/>
    <w:rsid w:val="00855A17"/>
    <w:rsid w:val="00855F1E"/>
    <w:rsid w:val="00856106"/>
    <w:rsid w:val="008562B7"/>
    <w:rsid w:val="008563A7"/>
    <w:rsid w:val="00856639"/>
    <w:rsid w:val="00856772"/>
    <w:rsid w:val="008567B8"/>
    <w:rsid w:val="00856832"/>
    <w:rsid w:val="00856912"/>
    <w:rsid w:val="00856986"/>
    <w:rsid w:val="00856B20"/>
    <w:rsid w:val="00856B6B"/>
    <w:rsid w:val="00856D07"/>
    <w:rsid w:val="00856DBB"/>
    <w:rsid w:val="00856ECB"/>
    <w:rsid w:val="008570FA"/>
    <w:rsid w:val="0085734C"/>
    <w:rsid w:val="00857411"/>
    <w:rsid w:val="00857495"/>
    <w:rsid w:val="00857523"/>
    <w:rsid w:val="0085753B"/>
    <w:rsid w:val="00857732"/>
    <w:rsid w:val="00857F02"/>
    <w:rsid w:val="00857F35"/>
    <w:rsid w:val="00860165"/>
    <w:rsid w:val="008603F1"/>
    <w:rsid w:val="0086040E"/>
    <w:rsid w:val="008605ED"/>
    <w:rsid w:val="008606A5"/>
    <w:rsid w:val="00860824"/>
    <w:rsid w:val="0086082A"/>
    <w:rsid w:val="00860B1D"/>
    <w:rsid w:val="00860B6C"/>
    <w:rsid w:val="00860B95"/>
    <w:rsid w:val="00860CEE"/>
    <w:rsid w:val="00860EE0"/>
    <w:rsid w:val="00861219"/>
    <w:rsid w:val="00861595"/>
    <w:rsid w:val="00861684"/>
    <w:rsid w:val="00861695"/>
    <w:rsid w:val="00861758"/>
    <w:rsid w:val="0086184A"/>
    <w:rsid w:val="0086191F"/>
    <w:rsid w:val="0086196E"/>
    <w:rsid w:val="00861985"/>
    <w:rsid w:val="00861A43"/>
    <w:rsid w:val="00861A56"/>
    <w:rsid w:val="00861BC4"/>
    <w:rsid w:val="00861C44"/>
    <w:rsid w:val="0086214C"/>
    <w:rsid w:val="00862174"/>
    <w:rsid w:val="00862736"/>
    <w:rsid w:val="00862BC7"/>
    <w:rsid w:val="00862CCD"/>
    <w:rsid w:val="00862CDD"/>
    <w:rsid w:val="00862D43"/>
    <w:rsid w:val="00862F16"/>
    <w:rsid w:val="0086349B"/>
    <w:rsid w:val="00863512"/>
    <w:rsid w:val="008636CB"/>
    <w:rsid w:val="00863808"/>
    <w:rsid w:val="00863826"/>
    <w:rsid w:val="00863897"/>
    <w:rsid w:val="00863A3F"/>
    <w:rsid w:val="00863B80"/>
    <w:rsid w:val="00863D97"/>
    <w:rsid w:val="00863DB1"/>
    <w:rsid w:val="00863E28"/>
    <w:rsid w:val="00863EBF"/>
    <w:rsid w:val="00863EF1"/>
    <w:rsid w:val="00863EFE"/>
    <w:rsid w:val="00863FFB"/>
    <w:rsid w:val="00864160"/>
    <w:rsid w:val="00864236"/>
    <w:rsid w:val="008642F6"/>
    <w:rsid w:val="008645AE"/>
    <w:rsid w:val="008645C2"/>
    <w:rsid w:val="008645CB"/>
    <w:rsid w:val="00864866"/>
    <w:rsid w:val="008649A8"/>
    <w:rsid w:val="00864A56"/>
    <w:rsid w:val="00864B76"/>
    <w:rsid w:val="00864CDD"/>
    <w:rsid w:val="00864CEC"/>
    <w:rsid w:val="00864E1A"/>
    <w:rsid w:val="00864E2D"/>
    <w:rsid w:val="00864E86"/>
    <w:rsid w:val="008650D0"/>
    <w:rsid w:val="008654BC"/>
    <w:rsid w:val="00865596"/>
    <w:rsid w:val="008655E0"/>
    <w:rsid w:val="008656E3"/>
    <w:rsid w:val="0086579E"/>
    <w:rsid w:val="008657D9"/>
    <w:rsid w:val="0086595B"/>
    <w:rsid w:val="00865A7F"/>
    <w:rsid w:val="00865B29"/>
    <w:rsid w:val="00866336"/>
    <w:rsid w:val="00866487"/>
    <w:rsid w:val="008665B5"/>
    <w:rsid w:val="008665E7"/>
    <w:rsid w:val="0086691C"/>
    <w:rsid w:val="00866ADA"/>
    <w:rsid w:val="00866C4D"/>
    <w:rsid w:val="00866D5B"/>
    <w:rsid w:val="008673AA"/>
    <w:rsid w:val="008673B7"/>
    <w:rsid w:val="008674E5"/>
    <w:rsid w:val="00867893"/>
    <w:rsid w:val="008679BB"/>
    <w:rsid w:val="00867B17"/>
    <w:rsid w:val="00867B8B"/>
    <w:rsid w:val="00867E90"/>
    <w:rsid w:val="00867F89"/>
    <w:rsid w:val="00867F9E"/>
    <w:rsid w:val="008701E7"/>
    <w:rsid w:val="00870653"/>
    <w:rsid w:val="00870757"/>
    <w:rsid w:val="00870839"/>
    <w:rsid w:val="00870DCE"/>
    <w:rsid w:val="00870DE0"/>
    <w:rsid w:val="00870E54"/>
    <w:rsid w:val="00870FAA"/>
    <w:rsid w:val="00871069"/>
    <w:rsid w:val="008710C0"/>
    <w:rsid w:val="0087143D"/>
    <w:rsid w:val="00871470"/>
    <w:rsid w:val="00871A2C"/>
    <w:rsid w:val="00871C26"/>
    <w:rsid w:val="00871DAA"/>
    <w:rsid w:val="00871DCC"/>
    <w:rsid w:val="00871FDE"/>
    <w:rsid w:val="00871FF9"/>
    <w:rsid w:val="0087207C"/>
    <w:rsid w:val="008720BD"/>
    <w:rsid w:val="00872159"/>
    <w:rsid w:val="00872514"/>
    <w:rsid w:val="00872593"/>
    <w:rsid w:val="00872867"/>
    <w:rsid w:val="0087291D"/>
    <w:rsid w:val="0087294B"/>
    <w:rsid w:val="00872AA8"/>
    <w:rsid w:val="00872AC4"/>
    <w:rsid w:val="00872CE7"/>
    <w:rsid w:val="00873165"/>
    <w:rsid w:val="00873280"/>
    <w:rsid w:val="008732C5"/>
    <w:rsid w:val="00873450"/>
    <w:rsid w:val="0087358C"/>
    <w:rsid w:val="0087367E"/>
    <w:rsid w:val="00873BC7"/>
    <w:rsid w:val="00873EBB"/>
    <w:rsid w:val="00873EC4"/>
    <w:rsid w:val="0087437A"/>
    <w:rsid w:val="0087438C"/>
    <w:rsid w:val="008744CA"/>
    <w:rsid w:val="008745C7"/>
    <w:rsid w:val="0087465D"/>
    <w:rsid w:val="008746F3"/>
    <w:rsid w:val="0087473F"/>
    <w:rsid w:val="00874844"/>
    <w:rsid w:val="00874A9D"/>
    <w:rsid w:val="00874C30"/>
    <w:rsid w:val="00874E24"/>
    <w:rsid w:val="00874EF7"/>
    <w:rsid w:val="00874F10"/>
    <w:rsid w:val="00875125"/>
    <w:rsid w:val="008752FA"/>
    <w:rsid w:val="008753F2"/>
    <w:rsid w:val="008753F8"/>
    <w:rsid w:val="008754AE"/>
    <w:rsid w:val="00875687"/>
    <w:rsid w:val="008758BE"/>
    <w:rsid w:val="008758DB"/>
    <w:rsid w:val="008759AC"/>
    <w:rsid w:val="00875C3D"/>
    <w:rsid w:val="00875CE6"/>
    <w:rsid w:val="00875F5D"/>
    <w:rsid w:val="0087619F"/>
    <w:rsid w:val="00876264"/>
    <w:rsid w:val="008762FE"/>
    <w:rsid w:val="00876370"/>
    <w:rsid w:val="008763AD"/>
    <w:rsid w:val="008763C8"/>
    <w:rsid w:val="008763D3"/>
    <w:rsid w:val="00876564"/>
    <w:rsid w:val="008766BC"/>
    <w:rsid w:val="00876889"/>
    <w:rsid w:val="00876D78"/>
    <w:rsid w:val="00876F43"/>
    <w:rsid w:val="008770F0"/>
    <w:rsid w:val="00877154"/>
    <w:rsid w:val="008773CC"/>
    <w:rsid w:val="008774D9"/>
    <w:rsid w:val="00877560"/>
    <w:rsid w:val="00877596"/>
    <w:rsid w:val="00877A98"/>
    <w:rsid w:val="00877B87"/>
    <w:rsid w:val="00880589"/>
    <w:rsid w:val="008805CE"/>
    <w:rsid w:val="0088065A"/>
    <w:rsid w:val="00880712"/>
    <w:rsid w:val="008808CF"/>
    <w:rsid w:val="008809AA"/>
    <w:rsid w:val="00880B34"/>
    <w:rsid w:val="00880B63"/>
    <w:rsid w:val="00880B64"/>
    <w:rsid w:val="00880BAA"/>
    <w:rsid w:val="00880C90"/>
    <w:rsid w:val="00880C9F"/>
    <w:rsid w:val="00880CFA"/>
    <w:rsid w:val="00881051"/>
    <w:rsid w:val="0088129A"/>
    <w:rsid w:val="00881419"/>
    <w:rsid w:val="00881458"/>
    <w:rsid w:val="00881506"/>
    <w:rsid w:val="0088155B"/>
    <w:rsid w:val="0088166E"/>
    <w:rsid w:val="008816B2"/>
    <w:rsid w:val="00881791"/>
    <w:rsid w:val="00881A86"/>
    <w:rsid w:val="00881BFB"/>
    <w:rsid w:val="00881F3E"/>
    <w:rsid w:val="0088208F"/>
    <w:rsid w:val="008820C3"/>
    <w:rsid w:val="008822B3"/>
    <w:rsid w:val="00882446"/>
    <w:rsid w:val="008824B2"/>
    <w:rsid w:val="00882565"/>
    <w:rsid w:val="00882631"/>
    <w:rsid w:val="00882930"/>
    <w:rsid w:val="00882C45"/>
    <w:rsid w:val="00882C8D"/>
    <w:rsid w:val="00882F07"/>
    <w:rsid w:val="00882F6B"/>
    <w:rsid w:val="008831B3"/>
    <w:rsid w:val="00883364"/>
    <w:rsid w:val="00883590"/>
    <w:rsid w:val="00883599"/>
    <w:rsid w:val="00883657"/>
    <w:rsid w:val="008836C0"/>
    <w:rsid w:val="0088373D"/>
    <w:rsid w:val="00883C9E"/>
    <w:rsid w:val="00883D0D"/>
    <w:rsid w:val="00883D3D"/>
    <w:rsid w:val="0088408C"/>
    <w:rsid w:val="00884093"/>
    <w:rsid w:val="008841C7"/>
    <w:rsid w:val="00884482"/>
    <w:rsid w:val="00884742"/>
    <w:rsid w:val="00884947"/>
    <w:rsid w:val="0088497C"/>
    <w:rsid w:val="00884DB5"/>
    <w:rsid w:val="0088501E"/>
    <w:rsid w:val="00885085"/>
    <w:rsid w:val="00885251"/>
    <w:rsid w:val="008852AB"/>
    <w:rsid w:val="00885697"/>
    <w:rsid w:val="00885C5E"/>
    <w:rsid w:val="00885CC1"/>
    <w:rsid w:val="00885D2A"/>
    <w:rsid w:val="00885D5A"/>
    <w:rsid w:val="00885E54"/>
    <w:rsid w:val="00885E71"/>
    <w:rsid w:val="0088611C"/>
    <w:rsid w:val="008861CD"/>
    <w:rsid w:val="0088634D"/>
    <w:rsid w:val="0088653E"/>
    <w:rsid w:val="008867A7"/>
    <w:rsid w:val="0088699E"/>
    <w:rsid w:val="00886B19"/>
    <w:rsid w:val="00886B5F"/>
    <w:rsid w:val="00886C39"/>
    <w:rsid w:val="00886D31"/>
    <w:rsid w:val="00887058"/>
    <w:rsid w:val="00887334"/>
    <w:rsid w:val="00887494"/>
    <w:rsid w:val="008875B9"/>
    <w:rsid w:val="008878A8"/>
    <w:rsid w:val="00887A24"/>
    <w:rsid w:val="00887BC1"/>
    <w:rsid w:val="00887D59"/>
    <w:rsid w:val="00887E8E"/>
    <w:rsid w:val="00887EC7"/>
    <w:rsid w:val="00890031"/>
    <w:rsid w:val="00890256"/>
    <w:rsid w:val="00890301"/>
    <w:rsid w:val="00890383"/>
    <w:rsid w:val="008903F7"/>
    <w:rsid w:val="0089042A"/>
    <w:rsid w:val="00890530"/>
    <w:rsid w:val="008907DE"/>
    <w:rsid w:val="00890FC4"/>
    <w:rsid w:val="00891009"/>
    <w:rsid w:val="0089115B"/>
    <w:rsid w:val="00891252"/>
    <w:rsid w:val="008912C4"/>
    <w:rsid w:val="00891459"/>
    <w:rsid w:val="00891580"/>
    <w:rsid w:val="00891592"/>
    <w:rsid w:val="008915A1"/>
    <w:rsid w:val="0089171D"/>
    <w:rsid w:val="00891880"/>
    <w:rsid w:val="008918F3"/>
    <w:rsid w:val="00891A0A"/>
    <w:rsid w:val="00891BC4"/>
    <w:rsid w:val="00891CC0"/>
    <w:rsid w:val="00892005"/>
    <w:rsid w:val="00892106"/>
    <w:rsid w:val="008923DD"/>
    <w:rsid w:val="00892527"/>
    <w:rsid w:val="008926BE"/>
    <w:rsid w:val="00892A71"/>
    <w:rsid w:val="00892AA0"/>
    <w:rsid w:val="00892B0E"/>
    <w:rsid w:val="00892C55"/>
    <w:rsid w:val="00892E05"/>
    <w:rsid w:val="00893038"/>
    <w:rsid w:val="0089325C"/>
    <w:rsid w:val="00893274"/>
    <w:rsid w:val="00893316"/>
    <w:rsid w:val="00893393"/>
    <w:rsid w:val="00893606"/>
    <w:rsid w:val="008936D5"/>
    <w:rsid w:val="00893987"/>
    <w:rsid w:val="00893C6B"/>
    <w:rsid w:val="00893FF5"/>
    <w:rsid w:val="008942D1"/>
    <w:rsid w:val="008943C9"/>
    <w:rsid w:val="008946A0"/>
    <w:rsid w:val="00894915"/>
    <w:rsid w:val="0089498D"/>
    <w:rsid w:val="00894A47"/>
    <w:rsid w:val="00894EB9"/>
    <w:rsid w:val="0089519D"/>
    <w:rsid w:val="008951FA"/>
    <w:rsid w:val="008955C7"/>
    <w:rsid w:val="008958A2"/>
    <w:rsid w:val="008958C3"/>
    <w:rsid w:val="00895BA2"/>
    <w:rsid w:val="00895CC9"/>
    <w:rsid w:val="00895CD0"/>
    <w:rsid w:val="00895D96"/>
    <w:rsid w:val="00895DD2"/>
    <w:rsid w:val="00895E0C"/>
    <w:rsid w:val="0089602B"/>
    <w:rsid w:val="00896239"/>
    <w:rsid w:val="00896512"/>
    <w:rsid w:val="0089658D"/>
    <w:rsid w:val="008969D8"/>
    <w:rsid w:val="00896B67"/>
    <w:rsid w:val="0089757E"/>
    <w:rsid w:val="008975EF"/>
    <w:rsid w:val="00897A24"/>
    <w:rsid w:val="00897ABB"/>
    <w:rsid w:val="00897C9E"/>
    <w:rsid w:val="00897F3B"/>
    <w:rsid w:val="008A0387"/>
    <w:rsid w:val="008A04E8"/>
    <w:rsid w:val="008A0831"/>
    <w:rsid w:val="008A099E"/>
    <w:rsid w:val="008A09F4"/>
    <w:rsid w:val="008A13B6"/>
    <w:rsid w:val="008A1545"/>
    <w:rsid w:val="008A17BD"/>
    <w:rsid w:val="008A19E9"/>
    <w:rsid w:val="008A1DFA"/>
    <w:rsid w:val="008A1F26"/>
    <w:rsid w:val="008A1FB4"/>
    <w:rsid w:val="008A2134"/>
    <w:rsid w:val="008A21D9"/>
    <w:rsid w:val="008A22CD"/>
    <w:rsid w:val="008A2481"/>
    <w:rsid w:val="008A2518"/>
    <w:rsid w:val="008A2552"/>
    <w:rsid w:val="008A25FB"/>
    <w:rsid w:val="008A2737"/>
    <w:rsid w:val="008A279B"/>
    <w:rsid w:val="008A287E"/>
    <w:rsid w:val="008A29AF"/>
    <w:rsid w:val="008A2B44"/>
    <w:rsid w:val="008A2C99"/>
    <w:rsid w:val="008A2CE8"/>
    <w:rsid w:val="008A2FE7"/>
    <w:rsid w:val="008A3038"/>
    <w:rsid w:val="008A33BF"/>
    <w:rsid w:val="008A33E5"/>
    <w:rsid w:val="008A38E8"/>
    <w:rsid w:val="008A397A"/>
    <w:rsid w:val="008A39AE"/>
    <w:rsid w:val="008A3B23"/>
    <w:rsid w:val="008A3D48"/>
    <w:rsid w:val="008A3D89"/>
    <w:rsid w:val="008A3DBD"/>
    <w:rsid w:val="008A3F29"/>
    <w:rsid w:val="008A45D5"/>
    <w:rsid w:val="008A47D7"/>
    <w:rsid w:val="008A4806"/>
    <w:rsid w:val="008A4AD5"/>
    <w:rsid w:val="008A4AE2"/>
    <w:rsid w:val="008A4ED3"/>
    <w:rsid w:val="008A4F0C"/>
    <w:rsid w:val="008A4F7A"/>
    <w:rsid w:val="008A50CB"/>
    <w:rsid w:val="008A50FF"/>
    <w:rsid w:val="008A5150"/>
    <w:rsid w:val="008A532D"/>
    <w:rsid w:val="008A5532"/>
    <w:rsid w:val="008A5737"/>
    <w:rsid w:val="008A574A"/>
    <w:rsid w:val="008A59EF"/>
    <w:rsid w:val="008A5A50"/>
    <w:rsid w:val="008A5A93"/>
    <w:rsid w:val="008A5AA9"/>
    <w:rsid w:val="008A5B3B"/>
    <w:rsid w:val="008A5D3A"/>
    <w:rsid w:val="008A5EFE"/>
    <w:rsid w:val="008A5FA2"/>
    <w:rsid w:val="008A619E"/>
    <w:rsid w:val="008A626E"/>
    <w:rsid w:val="008A646D"/>
    <w:rsid w:val="008A662E"/>
    <w:rsid w:val="008A6A66"/>
    <w:rsid w:val="008A6A6C"/>
    <w:rsid w:val="008A6BC9"/>
    <w:rsid w:val="008A6C46"/>
    <w:rsid w:val="008A6D0D"/>
    <w:rsid w:val="008A6D2A"/>
    <w:rsid w:val="008A6E62"/>
    <w:rsid w:val="008A71C0"/>
    <w:rsid w:val="008A71DC"/>
    <w:rsid w:val="008A7285"/>
    <w:rsid w:val="008A732F"/>
    <w:rsid w:val="008A74D1"/>
    <w:rsid w:val="008A7748"/>
    <w:rsid w:val="008A7783"/>
    <w:rsid w:val="008A78FA"/>
    <w:rsid w:val="008A7915"/>
    <w:rsid w:val="008A7BB9"/>
    <w:rsid w:val="008A7ECB"/>
    <w:rsid w:val="008B06CF"/>
    <w:rsid w:val="008B076E"/>
    <w:rsid w:val="008B07A4"/>
    <w:rsid w:val="008B08CF"/>
    <w:rsid w:val="008B09A0"/>
    <w:rsid w:val="008B09ED"/>
    <w:rsid w:val="008B0BD7"/>
    <w:rsid w:val="008B0DFB"/>
    <w:rsid w:val="008B0EEB"/>
    <w:rsid w:val="008B0FBD"/>
    <w:rsid w:val="008B128D"/>
    <w:rsid w:val="008B137D"/>
    <w:rsid w:val="008B13C8"/>
    <w:rsid w:val="008B148D"/>
    <w:rsid w:val="008B14B1"/>
    <w:rsid w:val="008B15B9"/>
    <w:rsid w:val="008B1621"/>
    <w:rsid w:val="008B16EC"/>
    <w:rsid w:val="008B1722"/>
    <w:rsid w:val="008B1817"/>
    <w:rsid w:val="008B195E"/>
    <w:rsid w:val="008B19DD"/>
    <w:rsid w:val="008B1F68"/>
    <w:rsid w:val="008B212A"/>
    <w:rsid w:val="008B22CB"/>
    <w:rsid w:val="008B22D6"/>
    <w:rsid w:val="008B245E"/>
    <w:rsid w:val="008B2681"/>
    <w:rsid w:val="008B29F6"/>
    <w:rsid w:val="008B2B8E"/>
    <w:rsid w:val="008B2C60"/>
    <w:rsid w:val="008B2F02"/>
    <w:rsid w:val="008B3033"/>
    <w:rsid w:val="008B307E"/>
    <w:rsid w:val="008B31F3"/>
    <w:rsid w:val="008B322C"/>
    <w:rsid w:val="008B33E7"/>
    <w:rsid w:val="008B3590"/>
    <w:rsid w:val="008B35B9"/>
    <w:rsid w:val="008B35E2"/>
    <w:rsid w:val="008B36AF"/>
    <w:rsid w:val="008B3874"/>
    <w:rsid w:val="008B39CF"/>
    <w:rsid w:val="008B3BCF"/>
    <w:rsid w:val="008B3CCA"/>
    <w:rsid w:val="008B400E"/>
    <w:rsid w:val="008B4011"/>
    <w:rsid w:val="008B409A"/>
    <w:rsid w:val="008B4204"/>
    <w:rsid w:val="008B439F"/>
    <w:rsid w:val="008B4401"/>
    <w:rsid w:val="008B4528"/>
    <w:rsid w:val="008B455F"/>
    <w:rsid w:val="008B46A7"/>
    <w:rsid w:val="008B4986"/>
    <w:rsid w:val="008B4B0F"/>
    <w:rsid w:val="008B4C1C"/>
    <w:rsid w:val="008B4DB7"/>
    <w:rsid w:val="008B5105"/>
    <w:rsid w:val="008B515E"/>
    <w:rsid w:val="008B51BE"/>
    <w:rsid w:val="008B51F0"/>
    <w:rsid w:val="008B5229"/>
    <w:rsid w:val="008B54FA"/>
    <w:rsid w:val="008B5710"/>
    <w:rsid w:val="008B58A4"/>
    <w:rsid w:val="008B59A7"/>
    <w:rsid w:val="008B59F3"/>
    <w:rsid w:val="008B5C60"/>
    <w:rsid w:val="008B5C6E"/>
    <w:rsid w:val="008B5C90"/>
    <w:rsid w:val="008B5DB2"/>
    <w:rsid w:val="008B5DBB"/>
    <w:rsid w:val="008B5FE4"/>
    <w:rsid w:val="008B623C"/>
    <w:rsid w:val="008B6505"/>
    <w:rsid w:val="008B66CD"/>
    <w:rsid w:val="008B6732"/>
    <w:rsid w:val="008B6FE6"/>
    <w:rsid w:val="008B7262"/>
    <w:rsid w:val="008B7375"/>
    <w:rsid w:val="008B7382"/>
    <w:rsid w:val="008B7424"/>
    <w:rsid w:val="008B78E1"/>
    <w:rsid w:val="008B7A46"/>
    <w:rsid w:val="008B7C50"/>
    <w:rsid w:val="008B7C5B"/>
    <w:rsid w:val="008B7C6B"/>
    <w:rsid w:val="008B7DB6"/>
    <w:rsid w:val="008B7E24"/>
    <w:rsid w:val="008B7FA8"/>
    <w:rsid w:val="008C0011"/>
    <w:rsid w:val="008C02E8"/>
    <w:rsid w:val="008C0458"/>
    <w:rsid w:val="008C0763"/>
    <w:rsid w:val="008C087D"/>
    <w:rsid w:val="008C0A2E"/>
    <w:rsid w:val="008C0B29"/>
    <w:rsid w:val="008C0C6A"/>
    <w:rsid w:val="008C0D2D"/>
    <w:rsid w:val="008C0EF8"/>
    <w:rsid w:val="008C0F00"/>
    <w:rsid w:val="008C1072"/>
    <w:rsid w:val="008C1112"/>
    <w:rsid w:val="008C119A"/>
    <w:rsid w:val="008C131A"/>
    <w:rsid w:val="008C163B"/>
    <w:rsid w:val="008C186F"/>
    <w:rsid w:val="008C1920"/>
    <w:rsid w:val="008C194C"/>
    <w:rsid w:val="008C1960"/>
    <w:rsid w:val="008C19AB"/>
    <w:rsid w:val="008C1A2F"/>
    <w:rsid w:val="008C1C87"/>
    <w:rsid w:val="008C1D60"/>
    <w:rsid w:val="008C1DA6"/>
    <w:rsid w:val="008C1E2E"/>
    <w:rsid w:val="008C208F"/>
    <w:rsid w:val="008C218B"/>
    <w:rsid w:val="008C22F7"/>
    <w:rsid w:val="008C2CA4"/>
    <w:rsid w:val="008C2F94"/>
    <w:rsid w:val="008C3157"/>
    <w:rsid w:val="008C31A5"/>
    <w:rsid w:val="008C3573"/>
    <w:rsid w:val="008C3614"/>
    <w:rsid w:val="008C3A4D"/>
    <w:rsid w:val="008C3B99"/>
    <w:rsid w:val="008C3F9C"/>
    <w:rsid w:val="008C40FD"/>
    <w:rsid w:val="008C41F9"/>
    <w:rsid w:val="008C43C2"/>
    <w:rsid w:val="008C4472"/>
    <w:rsid w:val="008C4743"/>
    <w:rsid w:val="008C47B6"/>
    <w:rsid w:val="008C47BA"/>
    <w:rsid w:val="008C4858"/>
    <w:rsid w:val="008C4939"/>
    <w:rsid w:val="008C4E35"/>
    <w:rsid w:val="008C4F3A"/>
    <w:rsid w:val="008C4F43"/>
    <w:rsid w:val="008C508B"/>
    <w:rsid w:val="008C5590"/>
    <w:rsid w:val="008C5782"/>
    <w:rsid w:val="008C580E"/>
    <w:rsid w:val="008C582C"/>
    <w:rsid w:val="008C58D9"/>
    <w:rsid w:val="008C5917"/>
    <w:rsid w:val="008C59D9"/>
    <w:rsid w:val="008C5C2F"/>
    <w:rsid w:val="008C5C5E"/>
    <w:rsid w:val="008C5D57"/>
    <w:rsid w:val="008C5F35"/>
    <w:rsid w:val="008C6054"/>
    <w:rsid w:val="008C64EC"/>
    <w:rsid w:val="008C65BD"/>
    <w:rsid w:val="008C6700"/>
    <w:rsid w:val="008C674B"/>
    <w:rsid w:val="008C6A2D"/>
    <w:rsid w:val="008C6AA9"/>
    <w:rsid w:val="008C6D59"/>
    <w:rsid w:val="008C6DEF"/>
    <w:rsid w:val="008C6F43"/>
    <w:rsid w:val="008C6F4E"/>
    <w:rsid w:val="008C7056"/>
    <w:rsid w:val="008C7160"/>
    <w:rsid w:val="008C7A65"/>
    <w:rsid w:val="008C7C24"/>
    <w:rsid w:val="008C7D39"/>
    <w:rsid w:val="008C7ED2"/>
    <w:rsid w:val="008C7F71"/>
    <w:rsid w:val="008D00FC"/>
    <w:rsid w:val="008D0175"/>
    <w:rsid w:val="008D0191"/>
    <w:rsid w:val="008D02F2"/>
    <w:rsid w:val="008D06C1"/>
    <w:rsid w:val="008D099B"/>
    <w:rsid w:val="008D0BB5"/>
    <w:rsid w:val="008D0CD1"/>
    <w:rsid w:val="008D0D3D"/>
    <w:rsid w:val="008D0E95"/>
    <w:rsid w:val="008D0F76"/>
    <w:rsid w:val="008D0FDF"/>
    <w:rsid w:val="008D11FD"/>
    <w:rsid w:val="008D15C6"/>
    <w:rsid w:val="008D1860"/>
    <w:rsid w:val="008D1A4B"/>
    <w:rsid w:val="008D1A6F"/>
    <w:rsid w:val="008D1EBB"/>
    <w:rsid w:val="008D1FE5"/>
    <w:rsid w:val="008D20BE"/>
    <w:rsid w:val="008D222D"/>
    <w:rsid w:val="008D23D5"/>
    <w:rsid w:val="008D2497"/>
    <w:rsid w:val="008D258D"/>
    <w:rsid w:val="008D25EB"/>
    <w:rsid w:val="008D266D"/>
    <w:rsid w:val="008D284B"/>
    <w:rsid w:val="008D28C8"/>
    <w:rsid w:val="008D2A75"/>
    <w:rsid w:val="008D2A84"/>
    <w:rsid w:val="008D2C16"/>
    <w:rsid w:val="008D2DBE"/>
    <w:rsid w:val="008D2DF3"/>
    <w:rsid w:val="008D33AC"/>
    <w:rsid w:val="008D33AD"/>
    <w:rsid w:val="008D3423"/>
    <w:rsid w:val="008D34CC"/>
    <w:rsid w:val="008D366E"/>
    <w:rsid w:val="008D3B55"/>
    <w:rsid w:val="008D3D99"/>
    <w:rsid w:val="008D3E9F"/>
    <w:rsid w:val="008D40A5"/>
    <w:rsid w:val="008D40C7"/>
    <w:rsid w:val="008D4119"/>
    <w:rsid w:val="008D4401"/>
    <w:rsid w:val="008D44A3"/>
    <w:rsid w:val="008D483B"/>
    <w:rsid w:val="008D4941"/>
    <w:rsid w:val="008D4A5C"/>
    <w:rsid w:val="008D4B30"/>
    <w:rsid w:val="008D4BF3"/>
    <w:rsid w:val="008D4DA9"/>
    <w:rsid w:val="008D50B2"/>
    <w:rsid w:val="008D531F"/>
    <w:rsid w:val="008D570A"/>
    <w:rsid w:val="008D5952"/>
    <w:rsid w:val="008D5BAD"/>
    <w:rsid w:val="008D5C00"/>
    <w:rsid w:val="008D5D31"/>
    <w:rsid w:val="008D6035"/>
    <w:rsid w:val="008D612C"/>
    <w:rsid w:val="008D614F"/>
    <w:rsid w:val="008D6295"/>
    <w:rsid w:val="008D6343"/>
    <w:rsid w:val="008D64CE"/>
    <w:rsid w:val="008D6514"/>
    <w:rsid w:val="008D6560"/>
    <w:rsid w:val="008D6667"/>
    <w:rsid w:val="008D6744"/>
    <w:rsid w:val="008D675F"/>
    <w:rsid w:val="008D6A7C"/>
    <w:rsid w:val="008D6B35"/>
    <w:rsid w:val="008D6BB1"/>
    <w:rsid w:val="008D72D2"/>
    <w:rsid w:val="008D7382"/>
    <w:rsid w:val="008D743C"/>
    <w:rsid w:val="008D769D"/>
    <w:rsid w:val="008D7749"/>
    <w:rsid w:val="008D782B"/>
    <w:rsid w:val="008D7835"/>
    <w:rsid w:val="008D7846"/>
    <w:rsid w:val="008D79AE"/>
    <w:rsid w:val="008D7B31"/>
    <w:rsid w:val="008D7C5F"/>
    <w:rsid w:val="008D7DC6"/>
    <w:rsid w:val="008D7F2C"/>
    <w:rsid w:val="008E006F"/>
    <w:rsid w:val="008E0473"/>
    <w:rsid w:val="008E066E"/>
    <w:rsid w:val="008E0716"/>
    <w:rsid w:val="008E0720"/>
    <w:rsid w:val="008E0743"/>
    <w:rsid w:val="008E0BE4"/>
    <w:rsid w:val="008E1178"/>
    <w:rsid w:val="008E1185"/>
    <w:rsid w:val="008E11A5"/>
    <w:rsid w:val="008E128F"/>
    <w:rsid w:val="008E1848"/>
    <w:rsid w:val="008E1A3D"/>
    <w:rsid w:val="008E1D48"/>
    <w:rsid w:val="008E1D56"/>
    <w:rsid w:val="008E1E80"/>
    <w:rsid w:val="008E1F3D"/>
    <w:rsid w:val="008E204E"/>
    <w:rsid w:val="008E216B"/>
    <w:rsid w:val="008E2213"/>
    <w:rsid w:val="008E223D"/>
    <w:rsid w:val="008E25D5"/>
    <w:rsid w:val="008E2688"/>
    <w:rsid w:val="008E2A89"/>
    <w:rsid w:val="008E2CC8"/>
    <w:rsid w:val="008E3134"/>
    <w:rsid w:val="008E3291"/>
    <w:rsid w:val="008E32BB"/>
    <w:rsid w:val="008E3430"/>
    <w:rsid w:val="008E35E6"/>
    <w:rsid w:val="008E363A"/>
    <w:rsid w:val="008E36F1"/>
    <w:rsid w:val="008E38FE"/>
    <w:rsid w:val="008E3979"/>
    <w:rsid w:val="008E3A7F"/>
    <w:rsid w:val="008E3C9D"/>
    <w:rsid w:val="008E3CCE"/>
    <w:rsid w:val="008E3D60"/>
    <w:rsid w:val="008E3F0C"/>
    <w:rsid w:val="008E3FB2"/>
    <w:rsid w:val="008E406A"/>
    <w:rsid w:val="008E4426"/>
    <w:rsid w:val="008E4540"/>
    <w:rsid w:val="008E48F9"/>
    <w:rsid w:val="008E49D1"/>
    <w:rsid w:val="008E4B95"/>
    <w:rsid w:val="008E4F8C"/>
    <w:rsid w:val="008E50A6"/>
    <w:rsid w:val="008E54CB"/>
    <w:rsid w:val="008E54DC"/>
    <w:rsid w:val="008E5571"/>
    <w:rsid w:val="008E55D7"/>
    <w:rsid w:val="008E58D4"/>
    <w:rsid w:val="008E5BDF"/>
    <w:rsid w:val="008E5F07"/>
    <w:rsid w:val="008E62B5"/>
    <w:rsid w:val="008E62FC"/>
    <w:rsid w:val="008E631A"/>
    <w:rsid w:val="008E6512"/>
    <w:rsid w:val="008E6922"/>
    <w:rsid w:val="008E6974"/>
    <w:rsid w:val="008E6B0A"/>
    <w:rsid w:val="008E6CBE"/>
    <w:rsid w:val="008E6F2C"/>
    <w:rsid w:val="008E6FF5"/>
    <w:rsid w:val="008E71AD"/>
    <w:rsid w:val="008E7415"/>
    <w:rsid w:val="008E7794"/>
    <w:rsid w:val="008E7869"/>
    <w:rsid w:val="008E79C8"/>
    <w:rsid w:val="008E7A37"/>
    <w:rsid w:val="008E7ADF"/>
    <w:rsid w:val="008E7BFD"/>
    <w:rsid w:val="008E7DDC"/>
    <w:rsid w:val="008F0481"/>
    <w:rsid w:val="008F04C1"/>
    <w:rsid w:val="008F05CC"/>
    <w:rsid w:val="008F06BF"/>
    <w:rsid w:val="008F0876"/>
    <w:rsid w:val="008F088B"/>
    <w:rsid w:val="008F0A6D"/>
    <w:rsid w:val="008F0C0C"/>
    <w:rsid w:val="008F0D12"/>
    <w:rsid w:val="008F0D74"/>
    <w:rsid w:val="008F0E3C"/>
    <w:rsid w:val="008F10E1"/>
    <w:rsid w:val="008F124C"/>
    <w:rsid w:val="008F15AF"/>
    <w:rsid w:val="008F15D7"/>
    <w:rsid w:val="008F17E1"/>
    <w:rsid w:val="008F1845"/>
    <w:rsid w:val="008F18FB"/>
    <w:rsid w:val="008F1AC3"/>
    <w:rsid w:val="008F1B80"/>
    <w:rsid w:val="008F1C77"/>
    <w:rsid w:val="008F1F61"/>
    <w:rsid w:val="008F1F82"/>
    <w:rsid w:val="008F21EB"/>
    <w:rsid w:val="008F2229"/>
    <w:rsid w:val="008F2293"/>
    <w:rsid w:val="008F2316"/>
    <w:rsid w:val="008F23DD"/>
    <w:rsid w:val="008F29DE"/>
    <w:rsid w:val="008F30F8"/>
    <w:rsid w:val="008F31A3"/>
    <w:rsid w:val="008F331E"/>
    <w:rsid w:val="008F34AB"/>
    <w:rsid w:val="008F37D6"/>
    <w:rsid w:val="008F3A34"/>
    <w:rsid w:val="008F3B81"/>
    <w:rsid w:val="008F3D14"/>
    <w:rsid w:val="008F3FEA"/>
    <w:rsid w:val="008F400F"/>
    <w:rsid w:val="008F4206"/>
    <w:rsid w:val="008F4246"/>
    <w:rsid w:val="008F44A3"/>
    <w:rsid w:val="008F44EB"/>
    <w:rsid w:val="008F462D"/>
    <w:rsid w:val="008F465E"/>
    <w:rsid w:val="008F4A88"/>
    <w:rsid w:val="008F4A9A"/>
    <w:rsid w:val="008F4B30"/>
    <w:rsid w:val="008F4D9B"/>
    <w:rsid w:val="008F4EEA"/>
    <w:rsid w:val="008F4F3C"/>
    <w:rsid w:val="008F4FE6"/>
    <w:rsid w:val="008F502E"/>
    <w:rsid w:val="008F5070"/>
    <w:rsid w:val="008F5403"/>
    <w:rsid w:val="008F57B8"/>
    <w:rsid w:val="008F58EB"/>
    <w:rsid w:val="008F5AB9"/>
    <w:rsid w:val="008F5DF9"/>
    <w:rsid w:val="008F5E2A"/>
    <w:rsid w:val="008F60C1"/>
    <w:rsid w:val="008F6503"/>
    <w:rsid w:val="008F6597"/>
    <w:rsid w:val="008F67B9"/>
    <w:rsid w:val="008F6A91"/>
    <w:rsid w:val="008F6BAB"/>
    <w:rsid w:val="008F709C"/>
    <w:rsid w:val="008F70D6"/>
    <w:rsid w:val="008F71DE"/>
    <w:rsid w:val="008F738C"/>
    <w:rsid w:val="008F7572"/>
    <w:rsid w:val="008F75FA"/>
    <w:rsid w:val="008F7900"/>
    <w:rsid w:val="008F7B07"/>
    <w:rsid w:val="008F7DA1"/>
    <w:rsid w:val="008F7DB7"/>
    <w:rsid w:val="008F7EB5"/>
    <w:rsid w:val="009004AC"/>
    <w:rsid w:val="00900550"/>
    <w:rsid w:val="0090055D"/>
    <w:rsid w:val="00900620"/>
    <w:rsid w:val="00900690"/>
    <w:rsid w:val="0090081E"/>
    <w:rsid w:val="0090098F"/>
    <w:rsid w:val="00900D14"/>
    <w:rsid w:val="00900DD4"/>
    <w:rsid w:val="0090124A"/>
    <w:rsid w:val="009013B2"/>
    <w:rsid w:val="00901410"/>
    <w:rsid w:val="00901443"/>
    <w:rsid w:val="0090157C"/>
    <w:rsid w:val="0090163B"/>
    <w:rsid w:val="009018D6"/>
    <w:rsid w:val="00901A01"/>
    <w:rsid w:val="00901B0C"/>
    <w:rsid w:val="00901B95"/>
    <w:rsid w:val="00901C52"/>
    <w:rsid w:val="00901E69"/>
    <w:rsid w:val="00901EAC"/>
    <w:rsid w:val="00901F4B"/>
    <w:rsid w:val="00902211"/>
    <w:rsid w:val="00902275"/>
    <w:rsid w:val="0090239F"/>
    <w:rsid w:val="009026EC"/>
    <w:rsid w:val="0090273D"/>
    <w:rsid w:val="0090275D"/>
    <w:rsid w:val="00902806"/>
    <w:rsid w:val="009029B3"/>
    <w:rsid w:val="00902B3C"/>
    <w:rsid w:val="00902D21"/>
    <w:rsid w:val="0090348C"/>
    <w:rsid w:val="009035B4"/>
    <w:rsid w:val="00903802"/>
    <w:rsid w:val="0090386D"/>
    <w:rsid w:val="009039C8"/>
    <w:rsid w:val="00903B19"/>
    <w:rsid w:val="00903C1C"/>
    <w:rsid w:val="00903F41"/>
    <w:rsid w:val="00904173"/>
    <w:rsid w:val="00904385"/>
    <w:rsid w:val="00904434"/>
    <w:rsid w:val="00904888"/>
    <w:rsid w:val="009048A7"/>
    <w:rsid w:val="009049E8"/>
    <w:rsid w:val="00904BE2"/>
    <w:rsid w:val="00904F3C"/>
    <w:rsid w:val="00904F40"/>
    <w:rsid w:val="0090505B"/>
    <w:rsid w:val="009050AA"/>
    <w:rsid w:val="00905144"/>
    <w:rsid w:val="00905161"/>
    <w:rsid w:val="009051CE"/>
    <w:rsid w:val="009053F0"/>
    <w:rsid w:val="00905597"/>
    <w:rsid w:val="00905698"/>
    <w:rsid w:val="009056F4"/>
    <w:rsid w:val="009057DF"/>
    <w:rsid w:val="00905960"/>
    <w:rsid w:val="00905CB3"/>
    <w:rsid w:val="00905F4D"/>
    <w:rsid w:val="009062A6"/>
    <w:rsid w:val="009062B2"/>
    <w:rsid w:val="009062BA"/>
    <w:rsid w:val="0090694C"/>
    <w:rsid w:val="00906BE3"/>
    <w:rsid w:val="00906DA9"/>
    <w:rsid w:val="00906E99"/>
    <w:rsid w:val="0090703B"/>
    <w:rsid w:val="00907189"/>
    <w:rsid w:val="00907307"/>
    <w:rsid w:val="0090749E"/>
    <w:rsid w:val="009074CB"/>
    <w:rsid w:val="0090751C"/>
    <w:rsid w:val="0090760C"/>
    <w:rsid w:val="00907670"/>
    <w:rsid w:val="009077CA"/>
    <w:rsid w:val="00907841"/>
    <w:rsid w:val="009078D3"/>
    <w:rsid w:val="00907942"/>
    <w:rsid w:val="009079C3"/>
    <w:rsid w:val="009079D3"/>
    <w:rsid w:val="00907A9F"/>
    <w:rsid w:val="00907C95"/>
    <w:rsid w:val="00907DC5"/>
    <w:rsid w:val="00907E53"/>
    <w:rsid w:val="00910048"/>
    <w:rsid w:val="009107C3"/>
    <w:rsid w:val="009108C7"/>
    <w:rsid w:val="00910E62"/>
    <w:rsid w:val="00910FA6"/>
    <w:rsid w:val="00911168"/>
    <w:rsid w:val="0091118F"/>
    <w:rsid w:val="00911190"/>
    <w:rsid w:val="009117C4"/>
    <w:rsid w:val="00911808"/>
    <w:rsid w:val="00911818"/>
    <w:rsid w:val="009119D7"/>
    <w:rsid w:val="00911DD7"/>
    <w:rsid w:val="00911F17"/>
    <w:rsid w:val="009121BB"/>
    <w:rsid w:val="00912601"/>
    <w:rsid w:val="0091264A"/>
    <w:rsid w:val="009126E0"/>
    <w:rsid w:val="009128E8"/>
    <w:rsid w:val="00912A76"/>
    <w:rsid w:val="00912B40"/>
    <w:rsid w:val="00912D96"/>
    <w:rsid w:val="00912F01"/>
    <w:rsid w:val="0091305D"/>
    <w:rsid w:val="009131FD"/>
    <w:rsid w:val="00913303"/>
    <w:rsid w:val="009133B0"/>
    <w:rsid w:val="009138C8"/>
    <w:rsid w:val="00913A46"/>
    <w:rsid w:val="00913C1D"/>
    <w:rsid w:val="00913EB1"/>
    <w:rsid w:val="009140E6"/>
    <w:rsid w:val="00914284"/>
    <w:rsid w:val="00914352"/>
    <w:rsid w:val="009143F6"/>
    <w:rsid w:val="009145C1"/>
    <w:rsid w:val="009149DC"/>
    <w:rsid w:val="009149DF"/>
    <w:rsid w:val="00914AA2"/>
    <w:rsid w:val="00914C10"/>
    <w:rsid w:val="00914CA2"/>
    <w:rsid w:val="00914CE1"/>
    <w:rsid w:val="00914E1C"/>
    <w:rsid w:val="0091500E"/>
    <w:rsid w:val="0091501A"/>
    <w:rsid w:val="00915083"/>
    <w:rsid w:val="0091560A"/>
    <w:rsid w:val="00915BB0"/>
    <w:rsid w:val="00915C41"/>
    <w:rsid w:val="00915C44"/>
    <w:rsid w:val="00915E96"/>
    <w:rsid w:val="00916066"/>
    <w:rsid w:val="009160BA"/>
    <w:rsid w:val="009166F7"/>
    <w:rsid w:val="009168B2"/>
    <w:rsid w:val="00916B71"/>
    <w:rsid w:val="00916D28"/>
    <w:rsid w:val="00916FBC"/>
    <w:rsid w:val="00917006"/>
    <w:rsid w:val="00917023"/>
    <w:rsid w:val="00917080"/>
    <w:rsid w:val="009171C6"/>
    <w:rsid w:val="009171D8"/>
    <w:rsid w:val="00917284"/>
    <w:rsid w:val="00917483"/>
    <w:rsid w:val="0091751C"/>
    <w:rsid w:val="00917632"/>
    <w:rsid w:val="00917C2D"/>
    <w:rsid w:val="00917C39"/>
    <w:rsid w:val="009200F2"/>
    <w:rsid w:val="00920285"/>
    <w:rsid w:val="009204A1"/>
    <w:rsid w:val="0092058E"/>
    <w:rsid w:val="009205D6"/>
    <w:rsid w:val="00920894"/>
    <w:rsid w:val="00920A03"/>
    <w:rsid w:val="00920C15"/>
    <w:rsid w:val="0092112D"/>
    <w:rsid w:val="00921229"/>
    <w:rsid w:val="009214E8"/>
    <w:rsid w:val="009218DF"/>
    <w:rsid w:val="00921B78"/>
    <w:rsid w:val="00921D7F"/>
    <w:rsid w:val="00922124"/>
    <w:rsid w:val="009221B3"/>
    <w:rsid w:val="009221D6"/>
    <w:rsid w:val="009222B4"/>
    <w:rsid w:val="009222E8"/>
    <w:rsid w:val="009224AE"/>
    <w:rsid w:val="00922827"/>
    <w:rsid w:val="00922BB9"/>
    <w:rsid w:val="00922F87"/>
    <w:rsid w:val="00922FC9"/>
    <w:rsid w:val="00923072"/>
    <w:rsid w:val="00923133"/>
    <w:rsid w:val="00923576"/>
    <w:rsid w:val="0092359C"/>
    <w:rsid w:val="009235CA"/>
    <w:rsid w:val="0092373D"/>
    <w:rsid w:val="00923832"/>
    <w:rsid w:val="0092384E"/>
    <w:rsid w:val="009238B6"/>
    <w:rsid w:val="00923C6E"/>
    <w:rsid w:val="00923D90"/>
    <w:rsid w:val="00923EFC"/>
    <w:rsid w:val="00924069"/>
    <w:rsid w:val="009241A7"/>
    <w:rsid w:val="00924415"/>
    <w:rsid w:val="009247EE"/>
    <w:rsid w:val="00924800"/>
    <w:rsid w:val="00924A6E"/>
    <w:rsid w:val="00924C8D"/>
    <w:rsid w:val="00924D25"/>
    <w:rsid w:val="00924D9A"/>
    <w:rsid w:val="009251CB"/>
    <w:rsid w:val="009252A0"/>
    <w:rsid w:val="0092537E"/>
    <w:rsid w:val="0092541B"/>
    <w:rsid w:val="0092564E"/>
    <w:rsid w:val="00925972"/>
    <w:rsid w:val="009259C1"/>
    <w:rsid w:val="00925CD0"/>
    <w:rsid w:val="00925EAD"/>
    <w:rsid w:val="00926059"/>
    <w:rsid w:val="009261B8"/>
    <w:rsid w:val="009261E5"/>
    <w:rsid w:val="0092666C"/>
    <w:rsid w:val="0092669C"/>
    <w:rsid w:val="0092669F"/>
    <w:rsid w:val="00926828"/>
    <w:rsid w:val="009269F7"/>
    <w:rsid w:val="00926A02"/>
    <w:rsid w:val="00926A19"/>
    <w:rsid w:val="00926E6B"/>
    <w:rsid w:val="00926E6C"/>
    <w:rsid w:val="00927523"/>
    <w:rsid w:val="009275E5"/>
    <w:rsid w:val="00927684"/>
    <w:rsid w:val="00927825"/>
    <w:rsid w:val="00927A87"/>
    <w:rsid w:val="00927CE6"/>
    <w:rsid w:val="00927D12"/>
    <w:rsid w:val="00927D42"/>
    <w:rsid w:val="00927D8A"/>
    <w:rsid w:val="00927DF5"/>
    <w:rsid w:val="00927F8C"/>
    <w:rsid w:val="0093029D"/>
    <w:rsid w:val="009305F1"/>
    <w:rsid w:val="00930757"/>
    <w:rsid w:val="00930816"/>
    <w:rsid w:val="00930825"/>
    <w:rsid w:val="00930836"/>
    <w:rsid w:val="00930914"/>
    <w:rsid w:val="00930B1A"/>
    <w:rsid w:val="00930E02"/>
    <w:rsid w:val="00930E31"/>
    <w:rsid w:val="009312A4"/>
    <w:rsid w:val="00931342"/>
    <w:rsid w:val="0093148B"/>
    <w:rsid w:val="009317C8"/>
    <w:rsid w:val="009319E7"/>
    <w:rsid w:val="00931A48"/>
    <w:rsid w:val="00931B01"/>
    <w:rsid w:val="00931E56"/>
    <w:rsid w:val="00931E92"/>
    <w:rsid w:val="00932086"/>
    <w:rsid w:val="00932094"/>
    <w:rsid w:val="009320C8"/>
    <w:rsid w:val="009320F4"/>
    <w:rsid w:val="009321EF"/>
    <w:rsid w:val="00932323"/>
    <w:rsid w:val="0093234A"/>
    <w:rsid w:val="009324CA"/>
    <w:rsid w:val="009325B2"/>
    <w:rsid w:val="009325F8"/>
    <w:rsid w:val="00932C41"/>
    <w:rsid w:val="00932C6C"/>
    <w:rsid w:val="00932CB0"/>
    <w:rsid w:val="00932F03"/>
    <w:rsid w:val="00932FAC"/>
    <w:rsid w:val="00933565"/>
    <w:rsid w:val="00933579"/>
    <w:rsid w:val="009335DF"/>
    <w:rsid w:val="009336CB"/>
    <w:rsid w:val="00933724"/>
    <w:rsid w:val="00933809"/>
    <w:rsid w:val="009339C9"/>
    <w:rsid w:val="00933F5D"/>
    <w:rsid w:val="009341C5"/>
    <w:rsid w:val="0093441E"/>
    <w:rsid w:val="00934612"/>
    <w:rsid w:val="00934688"/>
    <w:rsid w:val="0093468E"/>
    <w:rsid w:val="009348D8"/>
    <w:rsid w:val="00934987"/>
    <w:rsid w:val="00934A5A"/>
    <w:rsid w:val="00934AE6"/>
    <w:rsid w:val="00934B7A"/>
    <w:rsid w:val="00934C96"/>
    <w:rsid w:val="00934ED2"/>
    <w:rsid w:val="00934EE0"/>
    <w:rsid w:val="00934EEE"/>
    <w:rsid w:val="00935186"/>
    <w:rsid w:val="009351BA"/>
    <w:rsid w:val="009353A4"/>
    <w:rsid w:val="00935411"/>
    <w:rsid w:val="009355E1"/>
    <w:rsid w:val="009356C9"/>
    <w:rsid w:val="0093574E"/>
    <w:rsid w:val="00935860"/>
    <w:rsid w:val="00935891"/>
    <w:rsid w:val="00935AB4"/>
    <w:rsid w:val="00935D62"/>
    <w:rsid w:val="00935F86"/>
    <w:rsid w:val="00936272"/>
    <w:rsid w:val="00936285"/>
    <w:rsid w:val="009363B6"/>
    <w:rsid w:val="00936487"/>
    <w:rsid w:val="009365C4"/>
    <w:rsid w:val="009367BA"/>
    <w:rsid w:val="00936D9C"/>
    <w:rsid w:val="00936E60"/>
    <w:rsid w:val="00937039"/>
    <w:rsid w:val="0093708F"/>
    <w:rsid w:val="0093723B"/>
    <w:rsid w:val="00937261"/>
    <w:rsid w:val="00937479"/>
    <w:rsid w:val="009374CE"/>
    <w:rsid w:val="00937542"/>
    <w:rsid w:val="009376CB"/>
    <w:rsid w:val="009376E9"/>
    <w:rsid w:val="00937AE4"/>
    <w:rsid w:val="00937B86"/>
    <w:rsid w:val="00937DED"/>
    <w:rsid w:val="00937E73"/>
    <w:rsid w:val="00940218"/>
    <w:rsid w:val="009402F9"/>
    <w:rsid w:val="00940330"/>
    <w:rsid w:val="00940C2F"/>
    <w:rsid w:val="00940CDA"/>
    <w:rsid w:val="00940E02"/>
    <w:rsid w:val="00941596"/>
    <w:rsid w:val="009415C9"/>
    <w:rsid w:val="00941697"/>
    <w:rsid w:val="0094169D"/>
    <w:rsid w:val="00941984"/>
    <w:rsid w:val="009419C2"/>
    <w:rsid w:val="00941D00"/>
    <w:rsid w:val="00941DD2"/>
    <w:rsid w:val="00941F00"/>
    <w:rsid w:val="00942231"/>
    <w:rsid w:val="00942546"/>
    <w:rsid w:val="00942A98"/>
    <w:rsid w:val="00942F1A"/>
    <w:rsid w:val="00943443"/>
    <w:rsid w:val="00943488"/>
    <w:rsid w:val="009434F9"/>
    <w:rsid w:val="00943789"/>
    <w:rsid w:val="009438C8"/>
    <w:rsid w:val="009439AA"/>
    <w:rsid w:val="00943BEB"/>
    <w:rsid w:val="00943C95"/>
    <w:rsid w:val="00943DA6"/>
    <w:rsid w:val="00943E8A"/>
    <w:rsid w:val="00944352"/>
    <w:rsid w:val="0094439C"/>
    <w:rsid w:val="009443C9"/>
    <w:rsid w:val="009444E6"/>
    <w:rsid w:val="009444F0"/>
    <w:rsid w:val="00944747"/>
    <w:rsid w:val="00944833"/>
    <w:rsid w:val="0094492A"/>
    <w:rsid w:val="0094492C"/>
    <w:rsid w:val="00944B49"/>
    <w:rsid w:val="00944C42"/>
    <w:rsid w:val="00944D44"/>
    <w:rsid w:val="00944D48"/>
    <w:rsid w:val="00944D9E"/>
    <w:rsid w:val="00945276"/>
    <w:rsid w:val="009454FA"/>
    <w:rsid w:val="00945541"/>
    <w:rsid w:val="00945615"/>
    <w:rsid w:val="009457F6"/>
    <w:rsid w:val="00945930"/>
    <w:rsid w:val="009459DA"/>
    <w:rsid w:val="00945A1A"/>
    <w:rsid w:val="00945A9C"/>
    <w:rsid w:val="00945B4B"/>
    <w:rsid w:val="00945C7C"/>
    <w:rsid w:val="00945D86"/>
    <w:rsid w:val="00945D9F"/>
    <w:rsid w:val="009463DC"/>
    <w:rsid w:val="009464C1"/>
    <w:rsid w:val="00946748"/>
    <w:rsid w:val="009468F8"/>
    <w:rsid w:val="00946A30"/>
    <w:rsid w:val="00946D6D"/>
    <w:rsid w:val="00946DB6"/>
    <w:rsid w:val="00946E74"/>
    <w:rsid w:val="0094708A"/>
    <w:rsid w:val="0094711A"/>
    <w:rsid w:val="00947171"/>
    <w:rsid w:val="00947363"/>
    <w:rsid w:val="00947541"/>
    <w:rsid w:val="009475C9"/>
    <w:rsid w:val="00947827"/>
    <w:rsid w:val="009478C6"/>
    <w:rsid w:val="009479A2"/>
    <w:rsid w:val="00947A8D"/>
    <w:rsid w:val="00947BB6"/>
    <w:rsid w:val="00947E88"/>
    <w:rsid w:val="009500F7"/>
    <w:rsid w:val="009501D5"/>
    <w:rsid w:val="00950257"/>
    <w:rsid w:val="0095025E"/>
    <w:rsid w:val="0095032F"/>
    <w:rsid w:val="009504CB"/>
    <w:rsid w:val="00950BAF"/>
    <w:rsid w:val="00950C50"/>
    <w:rsid w:val="00950CB9"/>
    <w:rsid w:val="00950D6A"/>
    <w:rsid w:val="00950E41"/>
    <w:rsid w:val="00950EF9"/>
    <w:rsid w:val="0095118B"/>
    <w:rsid w:val="0095126F"/>
    <w:rsid w:val="0095134C"/>
    <w:rsid w:val="009515A0"/>
    <w:rsid w:val="00951BC0"/>
    <w:rsid w:val="00951CDD"/>
    <w:rsid w:val="0095201F"/>
    <w:rsid w:val="009520B8"/>
    <w:rsid w:val="00952128"/>
    <w:rsid w:val="00952531"/>
    <w:rsid w:val="0095259F"/>
    <w:rsid w:val="0095288F"/>
    <w:rsid w:val="00952970"/>
    <w:rsid w:val="00952B4B"/>
    <w:rsid w:val="00952BA8"/>
    <w:rsid w:val="00952D4C"/>
    <w:rsid w:val="00952E69"/>
    <w:rsid w:val="00952F22"/>
    <w:rsid w:val="00952F90"/>
    <w:rsid w:val="00953119"/>
    <w:rsid w:val="00953274"/>
    <w:rsid w:val="009533A7"/>
    <w:rsid w:val="0095348B"/>
    <w:rsid w:val="00953585"/>
    <w:rsid w:val="00953DAF"/>
    <w:rsid w:val="00953FCE"/>
    <w:rsid w:val="00954004"/>
    <w:rsid w:val="00954237"/>
    <w:rsid w:val="009544F5"/>
    <w:rsid w:val="0095472A"/>
    <w:rsid w:val="00954743"/>
    <w:rsid w:val="009548D0"/>
    <w:rsid w:val="00954A45"/>
    <w:rsid w:val="00954CD7"/>
    <w:rsid w:val="00954DD0"/>
    <w:rsid w:val="00954EA2"/>
    <w:rsid w:val="00954F34"/>
    <w:rsid w:val="00954FE6"/>
    <w:rsid w:val="009550C1"/>
    <w:rsid w:val="009551BA"/>
    <w:rsid w:val="00955365"/>
    <w:rsid w:val="009553FD"/>
    <w:rsid w:val="00955674"/>
    <w:rsid w:val="009556E6"/>
    <w:rsid w:val="00955821"/>
    <w:rsid w:val="009558C6"/>
    <w:rsid w:val="0095593A"/>
    <w:rsid w:val="00955AB9"/>
    <w:rsid w:val="00955C89"/>
    <w:rsid w:val="00955EE9"/>
    <w:rsid w:val="009564B6"/>
    <w:rsid w:val="009564E5"/>
    <w:rsid w:val="009564E7"/>
    <w:rsid w:val="009565B1"/>
    <w:rsid w:val="00956915"/>
    <w:rsid w:val="0095700E"/>
    <w:rsid w:val="009570DB"/>
    <w:rsid w:val="0095740B"/>
    <w:rsid w:val="00957414"/>
    <w:rsid w:val="00957660"/>
    <w:rsid w:val="009577A0"/>
    <w:rsid w:val="0095784C"/>
    <w:rsid w:val="009579D9"/>
    <w:rsid w:val="00957EE8"/>
    <w:rsid w:val="00957F54"/>
    <w:rsid w:val="00957FAE"/>
    <w:rsid w:val="00960259"/>
    <w:rsid w:val="0096041F"/>
    <w:rsid w:val="0096049B"/>
    <w:rsid w:val="00960563"/>
    <w:rsid w:val="00960675"/>
    <w:rsid w:val="00960C95"/>
    <w:rsid w:val="00960CAC"/>
    <w:rsid w:val="00960E86"/>
    <w:rsid w:val="00960F9B"/>
    <w:rsid w:val="009616CA"/>
    <w:rsid w:val="00961E74"/>
    <w:rsid w:val="0096215D"/>
    <w:rsid w:val="009622B4"/>
    <w:rsid w:val="009622DF"/>
    <w:rsid w:val="009622FC"/>
    <w:rsid w:val="00962665"/>
    <w:rsid w:val="0096285C"/>
    <w:rsid w:val="00962A0F"/>
    <w:rsid w:val="00962AEE"/>
    <w:rsid w:val="00962B74"/>
    <w:rsid w:val="00962B9E"/>
    <w:rsid w:val="00962D0D"/>
    <w:rsid w:val="00962F7F"/>
    <w:rsid w:val="00962F99"/>
    <w:rsid w:val="009632A3"/>
    <w:rsid w:val="0096339F"/>
    <w:rsid w:val="0096355F"/>
    <w:rsid w:val="00963603"/>
    <w:rsid w:val="009636F7"/>
    <w:rsid w:val="00963948"/>
    <w:rsid w:val="00963B9C"/>
    <w:rsid w:val="00964047"/>
    <w:rsid w:val="00964268"/>
    <w:rsid w:val="009643FF"/>
    <w:rsid w:val="00964578"/>
    <w:rsid w:val="0096473F"/>
    <w:rsid w:val="0096478E"/>
    <w:rsid w:val="00964A05"/>
    <w:rsid w:val="00964A6F"/>
    <w:rsid w:val="00964AFC"/>
    <w:rsid w:val="00964B26"/>
    <w:rsid w:val="0096500A"/>
    <w:rsid w:val="00965058"/>
    <w:rsid w:val="009650FA"/>
    <w:rsid w:val="0096512F"/>
    <w:rsid w:val="0096519D"/>
    <w:rsid w:val="00965523"/>
    <w:rsid w:val="0096558E"/>
    <w:rsid w:val="00965871"/>
    <w:rsid w:val="00965977"/>
    <w:rsid w:val="00965B5D"/>
    <w:rsid w:val="00965C30"/>
    <w:rsid w:val="00965E58"/>
    <w:rsid w:val="00965F2C"/>
    <w:rsid w:val="00965F40"/>
    <w:rsid w:val="00965F7F"/>
    <w:rsid w:val="0096609E"/>
    <w:rsid w:val="00966193"/>
    <w:rsid w:val="00966B6A"/>
    <w:rsid w:val="00966D3E"/>
    <w:rsid w:val="00966D72"/>
    <w:rsid w:val="00966DBC"/>
    <w:rsid w:val="00966E8F"/>
    <w:rsid w:val="00966E91"/>
    <w:rsid w:val="009671A2"/>
    <w:rsid w:val="0096725C"/>
    <w:rsid w:val="009672B9"/>
    <w:rsid w:val="00967371"/>
    <w:rsid w:val="0096793D"/>
    <w:rsid w:val="009679CD"/>
    <w:rsid w:val="00967A66"/>
    <w:rsid w:val="00967C67"/>
    <w:rsid w:val="00967C8E"/>
    <w:rsid w:val="00967D14"/>
    <w:rsid w:val="00967DBC"/>
    <w:rsid w:val="00967E23"/>
    <w:rsid w:val="00967E31"/>
    <w:rsid w:val="009700EF"/>
    <w:rsid w:val="0097010A"/>
    <w:rsid w:val="00970135"/>
    <w:rsid w:val="00970246"/>
    <w:rsid w:val="009703B9"/>
    <w:rsid w:val="009703F0"/>
    <w:rsid w:val="00970442"/>
    <w:rsid w:val="0097053E"/>
    <w:rsid w:val="009708AF"/>
    <w:rsid w:val="009709FB"/>
    <w:rsid w:val="00970D3F"/>
    <w:rsid w:val="009716E8"/>
    <w:rsid w:val="009717E5"/>
    <w:rsid w:val="00971A80"/>
    <w:rsid w:val="00971B7A"/>
    <w:rsid w:val="00971BC8"/>
    <w:rsid w:val="00971F35"/>
    <w:rsid w:val="0097276A"/>
    <w:rsid w:val="00972904"/>
    <w:rsid w:val="009729A2"/>
    <w:rsid w:val="00972B77"/>
    <w:rsid w:val="00972C00"/>
    <w:rsid w:val="00972C68"/>
    <w:rsid w:val="00972C87"/>
    <w:rsid w:val="00972DEB"/>
    <w:rsid w:val="00972F2D"/>
    <w:rsid w:val="00972FAD"/>
    <w:rsid w:val="00972FF1"/>
    <w:rsid w:val="00973133"/>
    <w:rsid w:val="009732AF"/>
    <w:rsid w:val="0097340A"/>
    <w:rsid w:val="00973540"/>
    <w:rsid w:val="00973685"/>
    <w:rsid w:val="00973704"/>
    <w:rsid w:val="009737C7"/>
    <w:rsid w:val="00973955"/>
    <w:rsid w:val="00973B50"/>
    <w:rsid w:val="00973C79"/>
    <w:rsid w:val="00973CA6"/>
    <w:rsid w:val="00973E45"/>
    <w:rsid w:val="00973E95"/>
    <w:rsid w:val="0097401C"/>
    <w:rsid w:val="009742A2"/>
    <w:rsid w:val="009742D0"/>
    <w:rsid w:val="009742FA"/>
    <w:rsid w:val="009744DC"/>
    <w:rsid w:val="00974608"/>
    <w:rsid w:val="00974823"/>
    <w:rsid w:val="00974843"/>
    <w:rsid w:val="00974A05"/>
    <w:rsid w:val="00974A35"/>
    <w:rsid w:val="00974AA9"/>
    <w:rsid w:val="00974BF6"/>
    <w:rsid w:val="00974E48"/>
    <w:rsid w:val="00974FDD"/>
    <w:rsid w:val="009752D5"/>
    <w:rsid w:val="0097575D"/>
    <w:rsid w:val="009757D0"/>
    <w:rsid w:val="00975AF6"/>
    <w:rsid w:val="009760AF"/>
    <w:rsid w:val="009760CE"/>
    <w:rsid w:val="00976371"/>
    <w:rsid w:val="00976539"/>
    <w:rsid w:val="009765C0"/>
    <w:rsid w:val="0097672A"/>
    <w:rsid w:val="00976832"/>
    <w:rsid w:val="0097685D"/>
    <w:rsid w:val="0097690C"/>
    <w:rsid w:val="009769FE"/>
    <w:rsid w:val="00976C4C"/>
    <w:rsid w:val="00976C59"/>
    <w:rsid w:val="00976CFA"/>
    <w:rsid w:val="00976D5F"/>
    <w:rsid w:val="00976DAB"/>
    <w:rsid w:val="00976DD9"/>
    <w:rsid w:val="00976ED7"/>
    <w:rsid w:val="009774C9"/>
    <w:rsid w:val="00977AB4"/>
    <w:rsid w:val="00977D7A"/>
    <w:rsid w:val="00980162"/>
    <w:rsid w:val="0098038F"/>
    <w:rsid w:val="0098042B"/>
    <w:rsid w:val="00980585"/>
    <w:rsid w:val="0098061F"/>
    <w:rsid w:val="00980633"/>
    <w:rsid w:val="009806E0"/>
    <w:rsid w:val="00980781"/>
    <w:rsid w:val="0098097B"/>
    <w:rsid w:val="009809FC"/>
    <w:rsid w:val="00980B97"/>
    <w:rsid w:val="009810A9"/>
    <w:rsid w:val="00981204"/>
    <w:rsid w:val="00981228"/>
    <w:rsid w:val="009812E3"/>
    <w:rsid w:val="00981534"/>
    <w:rsid w:val="00981A56"/>
    <w:rsid w:val="00981E9F"/>
    <w:rsid w:val="009823CE"/>
    <w:rsid w:val="00982455"/>
    <w:rsid w:val="00982481"/>
    <w:rsid w:val="00982507"/>
    <w:rsid w:val="00982695"/>
    <w:rsid w:val="009826A4"/>
    <w:rsid w:val="009827CA"/>
    <w:rsid w:val="009828AD"/>
    <w:rsid w:val="009828D7"/>
    <w:rsid w:val="00982981"/>
    <w:rsid w:val="00982B83"/>
    <w:rsid w:val="00982B8B"/>
    <w:rsid w:val="00982BDE"/>
    <w:rsid w:val="00982ECC"/>
    <w:rsid w:val="00982F46"/>
    <w:rsid w:val="009833DE"/>
    <w:rsid w:val="00983416"/>
    <w:rsid w:val="00983511"/>
    <w:rsid w:val="00983579"/>
    <w:rsid w:val="009837B2"/>
    <w:rsid w:val="0098393A"/>
    <w:rsid w:val="00983A9A"/>
    <w:rsid w:val="00983ABB"/>
    <w:rsid w:val="00983BC2"/>
    <w:rsid w:val="00983C09"/>
    <w:rsid w:val="00983E32"/>
    <w:rsid w:val="00983E83"/>
    <w:rsid w:val="00983FFC"/>
    <w:rsid w:val="00984047"/>
    <w:rsid w:val="009841EE"/>
    <w:rsid w:val="00984235"/>
    <w:rsid w:val="009844C1"/>
    <w:rsid w:val="00984910"/>
    <w:rsid w:val="00984A24"/>
    <w:rsid w:val="00984B06"/>
    <w:rsid w:val="00984B2C"/>
    <w:rsid w:val="00984B37"/>
    <w:rsid w:val="00984E56"/>
    <w:rsid w:val="00984F0B"/>
    <w:rsid w:val="0098501C"/>
    <w:rsid w:val="00985133"/>
    <w:rsid w:val="00985364"/>
    <w:rsid w:val="009853C3"/>
    <w:rsid w:val="00985666"/>
    <w:rsid w:val="0098577C"/>
    <w:rsid w:val="009857A8"/>
    <w:rsid w:val="00985873"/>
    <w:rsid w:val="00985AAE"/>
    <w:rsid w:val="00985C30"/>
    <w:rsid w:val="00986069"/>
    <w:rsid w:val="00986113"/>
    <w:rsid w:val="0098625D"/>
    <w:rsid w:val="00986520"/>
    <w:rsid w:val="00986561"/>
    <w:rsid w:val="00986628"/>
    <w:rsid w:val="0098696D"/>
    <w:rsid w:val="00986A33"/>
    <w:rsid w:val="00986CEB"/>
    <w:rsid w:val="00986D05"/>
    <w:rsid w:val="00986DFD"/>
    <w:rsid w:val="00986F44"/>
    <w:rsid w:val="009871E2"/>
    <w:rsid w:val="0098725C"/>
    <w:rsid w:val="00987307"/>
    <w:rsid w:val="009873FC"/>
    <w:rsid w:val="0098751D"/>
    <w:rsid w:val="009875B2"/>
    <w:rsid w:val="009875F4"/>
    <w:rsid w:val="00987604"/>
    <w:rsid w:val="00987617"/>
    <w:rsid w:val="00987640"/>
    <w:rsid w:val="00987BB3"/>
    <w:rsid w:val="00987EA6"/>
    <w:rsid w:val="0099003B"/>
    <w:rsid w:val="009900CB"/>
    <w:rsid w:val="0099016B"/>
    <w:rsid w:val="009903AD"/>
    <w:rsid w:val="00990532"/>
    <w:rsid w:val="00990582"/>
    <w:rsid w:val="009906E8"/>
    <w:rsid w:val="00990778"/>
    <w:rsid w:val="00990946"/>
    <w:rsid w:val="00990A7D"/>
    <w:rsid w:val="00990D92"/>
    <w:rsid w:val="00990E14"/>
    <w:rsid w:val="00990F7A"/>
    <w:rsid w:val="00991032"/>
    <w:rsid w:val="009910CD"/>
    <w:rsid w:val="0099142B"/>
    <w:rsid w:val="00991452"/>
    <w:rsid w:val="009914E4"/>
    <w:rsid w:val="009915E8"/>
    <w:rsid w:val="00991734"/>
    <w:rsid w:val="009917A8"/>
    <w:rsid w:val="00991964"/>
    <w:rsid w:val="009919D1"/>
    <w:rsid w:val="00991B9E"/>
    <w:rsid w:val="00991C88"/>
    <w:rsid w:val="00991DA0"/>
    <w:rsid w:val="00991E0E"/>
    <w:rsid w:val="00991EA6"/>
    <w:rsid w:val="0099214E"/>
    <w:rsid w:val="009922EC"/>
    <w:rsid w:val="009923C7"/>
    <w:rsid w:val="009925C8"/>
    <w:rsid w:val="009926E7"/>
    <w:rsid w:val="00992B0B"/>
    <w:rsid w:val="00992BF5"/>
    <w:rsid w:val="00992D5B"/>
    <w:rsid w:val="00992D7B"/>
    <w:rsid w:val="009932DA"/>
    <w:rsid w:val="00993A53"/>
    <w:rsid w:val="00993CC6"/>
    <w:rsid w:val="00994090"/>
    <w:rsid w:val="00994183"/>
    <w:rsid w:val="009942C8"/>
    <w:rsid w:val="0099486F"/>
    <w:rsid w:val="0099491F"/>
    <w:rsid w:val="00994B61"/>
    <w:rsid w:val="00994CA2"/>
    <w:rsid w:val="00994CB9"/>
    <w:rsid w:val="00994ECF"/>
    <w:rsid w:val="00994F45"/>
    <w:rsid w:val="009951DE"/>
    <w:rsid w:val="0099529C"/>
    <w:rsid w:val="009954D5"/>
    <w:rsid w:val="00995524"/>
    <w:rsid w:val="00995557"/>
    <w:rsid w:val="0099562F"/>
    <w:rsid w:val="0099565A"/>
    <w:rsid w:val="0099574B"/>
    <w:rsid w:val="009959E9"/>
    <w:rsid w:val="00995A28"/>
    <w:rsid w:val="00995AD8"/>
    <w:rsid w:val="00995B34"/>
    <w:rsid w:val="00995BAB"/>
    <w:rsid w:val="00995BCE"/>
    <w:rsid w:val="00995D8F"/>
    <w:rsid w:val="00995FFC"/>
    <w:rsid w:val="009961D8"/>
    <w:rsid w:val="0099644F"/>
    <w:rsid w:val="009964BE"/>
    <w:rsid w:val="00996545"/>
    <w:rsid w:val="00996603"/>
    <w:rsid w:val="00996617"/>
    <w:rsid w:val="00996EAB"/>
    <w:rsid w:val="00996F0D"/>
    <w:rsid w:val="00996F1A"/>
    <w:rsid w:val="00997065"/>
    <w:rsid w:val="0099746F"/>
    <w:rsid w:val="00997547"/>
    <w:rsid w:val="009976D6"/>
    <w:rsid w:val="00997A3C"/>
    <w:rsid w:val="00997BE2"/>
    <w:rsid w:val="00997C28"/>
    <w:rsid w:val="00997C29"/>
    <w:rsid w:val="00997C3A"/>
    <w:rsid w:val="00997D7C"/>
    <w:rsid w:val="009A00FF"/>
    <w:rsid w:val="009A014D"/>
    <w:rsid w:val="009A0329"/>
    <w:rsid w:val="009A054B"/>
    <w:rsid w:val="009A0FC6"/>
    <w:rsid w:val="009A1033"/>
    <w:rsid w:val="009A1085"/>
    <w:rsid w:val="009A1344"/>
    <w:rsid w:val="009A134A"/>
    <w:rsid w:val="009A1653"/>
    <w:rsid w:val="009A178D"/>
    <w:rsid w:val="009A18DA"/>
    <w:rsid w:val="009A1BFC"/>
    <w:rsid w:val="009A1CA8"/>
    <w:rsid w:val="009A1D84"/>
    <w:rsid w:val="009A1E1C"/>
    <w:rsid w:val="009A1E24"/>
    <w:rsid w:val="009A204C"/>
    <w:rsid w:val="009A2073"/>
    <w:rsid w:val="009A20C1"/>
    <w:rsid w:val="009A259C"/>
    <w:rsid w:val="009A25B0"/>
    <w:rsid w:val="009A274D"/>
    <w:rsid w:val="009A277E"/>
    <w:rsid w:val="009A29F3"/>
    <w:rsid w:val="009A2BE9"/>
    <w:rsid w:val="009A2C5F"/>
    <w:rsid w:val="009A3057"/>
    <w:rsid w:val="009A30DF"/>
    <w:rsid w:val="009A326B"/>
    <w:rsid w:val="009A3357"/>
    <w:rsid w:val="009A34E0"/>
    <w:rsid w:val="009A34E8"/>
    <w:rsid w:val="009A3688"/>
    <w:rsid w:val="009A3A51"/>
    <w:rsid w:val="009A3A7A"/>
    <w:rsid w:val="009A3B4A"/>
    <w:rsid w:val="009A3BD8"/>
    <w:rsid w:val="009A40B1"/>
    <w:rsid w:val="009A4140"/>
    <w:rsid w:val="009A4269"/>
    <w:rsid w:val="009A4288"/>
    <w:rsid w:val="009A4388"/>
    <w:rsid w:val="009A46E9"/>
    <w:rsid w:val="009A4822"/>
    <w:rsid w:val="009A4855"/>
    <w:rsid w:val="009A4CD3"/>
    <w:rsid w:val="009A4CF0"/>
    <w:rsid w:val="009A4F11"/>
    <w:rsid w:val="009A5091"/>
    <w:rsid w:val="009A5112"/>
    <w:rsid w:val="009A5135"/>
    <w:rsid w:val="009A51D7"/>
    <w:rsid w:val="009A5204"/>
    <w:rsid w:val="009A5253"/>
    <w:rsid w:val="009A52AC"/>
    <w:rsid w:val="009A5778"/>
    <w:rsid w:val="009A5883"/>
    <w:rsid w:val="009A5BDD"/>
    <w:rsid w:val="009A5CE4"/>
    <w:rsid w:val="009A5E38"/>
    <w:rsid w:val="009A5FD5"/>
    <w:rsid w:val="009A6049"/>
    <w:rsid w:val="009A60CD"/>
    <w:rsid w:val="009A638A"/>
    <w:rsid w:val="009A648A"/>
    <w:rsid w:val="009A6503"/>
    <w:rsid w:val="009A653E"/>
    <w:rsid w:val="009A6AC0"/>
    <w:rsid w:val="009A6BFE"/>
    <w:rsid w:val="009A6D15"/>
    <w:rsid w:val="009A6D8E"/>
    <w:rsid w:val="009A6E4E"/>
    <w:rsid w:val="009A6EB5"/>
    <w:rsid w:val="009A6FE5"/>
    <w:rsid w:val="009A711C"/>
    <w:rsid w:val="009A7639"/>
    <w:rsid w:val="009A7685"/>
    <w:rsid w:val="009A77E5"/>
    <w:rsid w:val="009A7D15"/>
    <w:rsid w:val="009B00B4"/>
    <w:rsid w:val="009B0102"/>
    <w:rsid w:val="009B03BA"/>
    <w:rsid w:val="009B04FA"/>
    <w:rsid w:val="009B0517"/>
    <w:rsid w:val="009B0551"/>
    <w:rsid w:val="009B0A9C"/>
    <w:rsid w:val="009B0B71"/>
    <w:rsid w:val="009B1224"/>
    <w:rsid w:val="009B1260"/>
    <w:rsid w:val="009B152E"/>
    <w:rsid w:val="009B1588"/>
    <w:rsid w:val="009B15C7"/>
    <w:rsid w:val="009B15F4"/>
    <w:rsid w:val="009B17D4"/>
    <w:rsid w:val="009B1A06"/>
    <w:rsid w:val="009B1CCC"/>
    <w:rsid w:val="009B1CDC"/>
    <w:rsid w:val="009B1CFE"/>
    <w:rsid w:val="009B1DEF"/>
    <w:rsid w:val="009B1EA2"/>
    <w:rsid w:val="009B1F91"/>
    <w:rsid w:val="009B2078"/>
    <w:rsid w:val="009B2323"/>
    <w:rsid w:val="009B2520"/>
    <w:rsid w:val="009B25AE"/>
    <w:rsid w:val="009B263C"/>
    <w:rsid w:val="009B27F4"/>
    <w:rsid w:val="009B289C"/>
    <w:rsid w:val="009B28BA"/>
    <w:rsid w:val="009B2AAE"/>
    <w:rsid w:val="009B2BD6"/>
    <w:rsid w:val="009B2CA8"/>
    <w:rsid w:val="009B2F25"/>
    <w:rsid w:val="009B2F47"/>
    <w:rsid w:val="009B2FFA"/>
    <w:rsid w:val="009B31BD"/>
    <w:rsid w:val="009B33A3"/>
    <w:rsid w:val="009B347E"/>
    <w:rsid w:val="009B36B6"/>
    <w:rsid w:val="009B383F"/>
    <w:rsid w:val="009B3846"/>
    <w:rsid w:val="009B3E71"/>
    <w:rsid w:val="009B3EDC"/>
    <w:rsid w:val="009B4022"/>
    <w:rsid w:val="009B41D7"/>
    <w:rsid w:val="009B427B"/>
    <w:rsid w:val="009B4480"/>
    <w:rsid w:val="009B48C9"/>
    <w:rsid w:val="009B48DA"/>
    <w:rsid w:val="009B4979"/>
    <w:rsid w:val="009B4CDA"/>
    <w:rsid w:val="009B53F3"/>
    <w:rsid w:val="009B545B"/>
    <w:rsid w:val="009B545D"/>
    <w:rsid w:val="009B55C9"/>
    <w:rsid w:val="009B55E3"/>
    <w:rsid w:val="009B588D"/>
    <w:rsid w:val="009B58C0"/>
    <w:rsid w:val="009B5C88"/>
    <w:rsid w:val="009B5ED0"/>
    <w:rsid w:val="009B5EEF"/>
    <w:rsid w:val="009B64B2"/>
    <w:rsid w:val="009B6883"/>
    <w:rsid w:val="009B68D0"/>
    <w:rsid w:val="009B6B35"/>
    <w:rsid w:val="009B6EC5"/>
    <w:rsid w:val="009B6FDD"/>
    <w:rsid w:val="009B7116"/>
    <w:rsid w:val="009B733E"/>
    <w:rsid w:val="009B794B"/>
    <w:rsid w:val="009B79C0"/>
    <w:rsid w:val="009B7A4C"/>
    <w:rsid w:val="009B7BD6"/>
    <w:rsid w:val="009B7F22"/>
    <w:rsid w:val="009C0058"/>
    <w:rsid w:val="009C014D"/>
    <w:rsid w:val="009C01C3"/>
    <w:rsid w:val="009C0411"/>
    <w:rsid w:val="009C0566"/>
    <w:rsid w:val="009C0778"/>
    <w:rsid w:val="009C0813"/>
    <w:rsid w:val="009C0819"/>
    <w:rsid w:val="009C084F"/>
    <w:rsid w:val="009C08EE"/>
    <w:rsid w:val="009C0A4C"/>
    <w:rsid w:val="009C0BC6"/>
    <w:rsid w:val="009C0CF9"/>
    <w:rsid w:val="009C1492"/>
    <w:rsid w:val="009C14CA"/>
    <w:rsid w:val="009C1555"/>
    <w:rsid w:val="009C1B4A"/>
    <w:rsid w:val="009C20B0"/>
    <w:rsid w:val="009C210A"/>
    <w:rsid w:val="009C2381"/>
    <w:rsid w:val="009C248A"/>
    <w:rsid w:val="009C2670"/>
    <w:rsid w:val="009C2998"/>
    <w:rsid w:val="009C2B3E"/>
    <w:rsid w:val="009C2C24"/>
    <w:rsid w:val="009C2D19"/>
    <w:rsid w:val="009C3015"/>
    <w:rsid w:val="009C31E7"/>
    <w:rsid w:val="009C33F1"/>
    <w:rsid w:val="009C3641"/>
    <w:rsid w:val="009C368B"/>
    <w:rsid w:val="009C3890"/>
    <w:rsid w:val="009C3903"/>
    <w:rsid w:val="009C3B61"/>
    <w:rsid w:val="009C416E"/>
    <w:rsid w:val="009C41F0"/>
    <w:rsid w:val="009C4224"/>
    <w:rsid w:val="009C4275"/>
    <w:rsid w:val="009C4423"/>
    <w:rsid w:val="009C4455"/>
    <w:rsid w:val="009C4489"/>
    <w:rsid w:val="009C46E5"/>
    <w:rsid w:val="009C46F0"/>
    <w:rsid w:val="009C4809"/>
    <w:rsid w:val="009C482F"/>
    <w:rsid w:val="009C4C2D"/>
    <w:rsid w:val="009C4C99"/>
    <w:rsid w:val="009C4EE7"/>
    <w:rsid w:val="009C508A"/>
    <w:rsid w:val="009C5329"/>
    <w:rsid w:val="009C5471"/>
    <w:rsid w:val="009C54FD"/>
    <w:rsid w:val="009C5540"/>
    <w:rsid w:val="009C595C"/>
    <w:rsid w:val="009C5A4B"/>
    <w:rsid w:val="009C5AB3"/>
    <w:rsid w:val="009C5BD3"/>
    <w:rsid w:val="009C5C29"/>
    <w:rsid w:val="009C5C87"/>
    <w:rsid w:val="009C5C88"/>
    <w:rsid w:val="009C5D27"/>
    <w:rsid w:val="009C5E4A"/>
    <w:rsid w:val="009C6198"/>
    <w:rsid w:val="009C64A8"/>
    <w:rsid w:val="009C64F7"/>
    <w:rsid w:val="009C65A5"/>
    <w:rsid w:val="009C67AB"/>
    <w:rsid w:val="009C6866"/>
    <w:rsid w:val="009C69F1"/>
    <w:rsid w:val="009C6D59"/>
    <w:rsid w:val="009C6DE1"/>
    <w:rsid w:val="009C6FD1"/>
    <w:rsid w:val="009C72E3"/>
    <w:rsid w:val="009C72F7"/>
    <w:rsid w:val="009C73AC"/>
    <w:rsid w:val="009C73F9"/>
    <w:rsid w:val="009C752A"/>
    <w:rsid w:val="009C7A74"/>
    <w:rsid w:val="009C7AA5"/>
    <w:rsid w:val="009C7BA7"/>
    <w:rsid w:val="009C7D76"/>
    <w:rsid w:val="009C7D9C"/>
    <w:rsid w:val="009C7FC4"/>
    <w:rsid w:val="009D0045"/>
    <w:rsid w:val="009D00E8"/>
    <w:rsid w:val="009D063F"/>
    <w:rsid w:val="009D0730"/>
    <w:rsid w:val="009D0857"/>
    <w:rsid w:val="009D08E2"/>
    <w:rsid w:val="009D09A6"/>
    <w:rsid w:val="009D0F57"/>
    <w:rsid w:val="009D101B"/>
    <w:rsid w:val="009D114B"/>
    <w:rsid w:val="009D148E"/>
    <w:rsid w:val="009D15EE"/>
    <w:rsid w:val="009D16E2"/>
    <w:rsid w:val="009D1746"/>
    <w:rsid w:val="009D1932"/>
    <w:rsid w:val="009D1A71"/>
    <w:rsid w:val="009D1AE2"/>
    <w:rsid w:val="009D1AFB"/>
    <w:rsid w:val="009D1BBE"/>
    <w:rsid w:val="009D207D"/>
    <w:rsid w:val="009D20F9"/>
    <w:rsid w:val="009D2409"/>
    <w:rsid w:val="009D2742"/>
    <w:rsid w:val="009D2842"/>
    <w:rsid w:val="009D2A3A"/>
    <w:rsid w:val="009D2A6E"/>
    <w:rsid w:val="009D2D50"/>
    <w:rsid w:val="009D3062"/>
    <w:rsid w:val="009D3091"/>
    <w:rsid w:val="009D30A7"/>
    <w:rsid w:val="009D332D"/>
    <w:rsid w:val="009D381C"/>
    <w:rsid w:val="009D3982"/>
    <w:rsid w:val="009D3A77"/>
    <w:rsid w:val="009D3B7A"/>
    <w:rsid w:val="009D3CE4"/>
    <w:rsid w:val="009D3F35"/>
    <w:rsid w:val="009D3F38"/>
    <w:rsid w:val="009D41F5"/>
    <w:rsid w:val="009D451D"/>
    <w:rsid w:val="009D454E"/>
    <w:rsid w:val="009D474B"/>
    <w:rsid w:val="009D48F4"/>
    <w:rsid w:val="009D4BCB"/>
    <w:rsid w:val="009D4E18"/>
    <w:rsid w:val="009D4EBB"/>
    <w:rsid w:val="009D4FDE"/>
    <w:rsid w:val="009D567F"/>
    <w:rsid w:val="009D57CF"/>
    <w:rsid w:val="009D5A04"/>
    <w:rsid w:val="009D5A57"/>
    <w:rsid w:val="009D5AEA"/>
    <w:rsid w:val="009D5C26"/>
    <w:rsid w:val="009D5DC2"/>
    <w:rsid w:val="009D6FCE"/>
    <w:rsid w:val="009D702F"/>
    <w:rsid w:val="009D73DD"/>
    <w:rsid w:val="009D76F1"/>
    <w:rsid w:val="009D773E"/>
    <w:rsid w:val="009D78DB"/>
    <w:rsid w:val="009D78EF"/>
    <w:rsid w:val="009D7AD2"/>
    <w:rsid w:val="009D7AF0"/>
    <w:rsid w:val="009D7C0B"/>
    <w:rsid w:val="009D7E98"/>
    <w:rsid w:val="009D7EC7"/>
    <w:rsid w:val="009E039D"/>
    <w:rsid w:val="009E0679"/>
    <w:rsid w:val="009E0769"/>
    <w:rsid w:val="009E0839"/>
    <w:rsid w:val="009E0B26"/>
    <w:rsid w:val="009E0C81"/>
    <w:rsid w:val="009E0D00"/>
    <w:rsid w:val="009E1BF1"/>
    <w:rsid w:val="009E2121"/>
    <w:rsid w:val="009E2188"/>
    <w:rsid w:val="009E2358"/>
    <w:rsid w:val="009E2527"/>
    <w:rsid w:val="009E279E"/>
    <w:rsid w:val="009E29A3"/>
    <w:rsid w:val="009E2B2A"/>
    <w:rsid w:val="009E2D22"/>
    <w:rsid w:val="009E31D4"/>
    <w:rsid w:val="009E330A"/>
    <w:rsid w:val="009E350D"/>
    <w:rsid w:val="009E3C17"/>
    <w:rsid w:val="009E3CA4"/>
    <w:rsid w:val="009E3D3F"/>
    <w:rsid w:val="009E3F1E"/>
    <w:rsid w:val="009E4123"/>
    <w:rsid w:val="009E421F"/>
    <w:rsid w:val="009E45F7"/>
    <w:rsid w:val="009E4770"/>
    <w:rsid w:val="009E481F"/>
    <w:rsid w:val="009E4962"/>
    <w:rsid w:val="009E49B9"/>
    <w:rsid w:val="009E4CFD"/>
    <w:rsid w:val="009E4D8B"/>
    <w:rsid w:val="009E4EE8"/>
    <w:rsid w:val="009E4F87"/>
    <w:rsid w:val="009E4FBA"/>
    <w:rsid w:val="009E578E"/>
    <w:rsid w:val="009E5791"/>
    <w:rsid w:val="009E61BC"/>
    <w:rsid w:val="009E6352"/>
    <w:rsid w:val="009E63B0"/>
    <w:rsid w:val="009E6473"/>
    <w:rsid w:val="009E64A6"/>
    <w:rsid w:val="009E6578"/>
    <w:rsid w:val="009E6588"/>
    <w:rsid w:val="009E6886"/>
    <w:rsid w:val="009E6A7C"/>
    <w:rsid w:val="009E6BD0"/>
    <w:rsid w:val="009E6DC5"/>
    <w:rsid w:val="009E6E60"/>
    <w:rsid w:val="009E6FB1"/>
    <w:rsid w:val="009E7340"/>
    <w:rsid w:val="009E74D3"/>
    <w:rsid w:val="009E754F"/>
    <w:rsid w:val="009E77E8"/>
    <w:rsid w:val="009E7834"/>
    <w:rsid w:val="009E78EF"/>
    <w:rsid w:val="009E78FA"/>
    <w:rsid w:val="009E7931"/>
    <w:rsid w:val="009E794F"/>
    <w:rsid w:val="009E79FD"/>
    <w:rsid w:val="009E7C57"/>
    <w:rsid w:val="009E7DE5"/>
    <w:rsid w:val="009F0033"/>
    <w:rsid w:val="009F00D7"/>
    <w:rsid w:val="009F028A"/>
    <w:rsid w:val="009F03B9"/>
    <w:rsid w:val="009F0491"/>
    <w:rsid w:val="009F0A8C"/>
    <w:rsid w:val="009F0B1C"/>
    <w:rsid w:val="009F0C61"/>
    <w:rsid w:val="009F0E2C"/>
    <w:rsid w:val="009F0F18"/>
    <w:rsid w:val="009F10E6"/>
    <w:rsid w:val="009F1178"/>
    <w:rsid w:val="009F19FF"/>
    <w:rsid w:val="009F1E16"/>
    <w:rsid w:val="009F1F20"/>
    <w:rsid w:val="009F207E"/>
    <w:rsid w:val="009F215E"/>
    <w:rsid w:val="009F280E"/>
    <w:rsid w:val="009F299A"/>
    <w:rsid w:val="009F29F1"/>
    <w:rsid w:val="009F2A66"/>
    <w:rsid w:val="009F2AEF"/>
    <w:rsid w:val="009F2B90"/>
    <w:rsid w:val="009F2C17"/>
    <w:rsid w:val="009F2D47"/>
    <w:rsid w:val="009F2D83"/>
    <w:rsid w:val="009F2FAF"/>
    <w:rsid w:val="009F3290"/>
    <w:rsid w:val="009F3482"/>
    <w:rsid w:val="009F36BF"/>
    <w:rsid w:val="009F3A9F"/>
    <w:rsid w:val="009F3C83"/>
    <w:rsid w:val="009F3C9C"/>
    <w:rsid w:val="009F3D08"/>
    <w:rsid w:val="009F4297"/>
    <w:rsid w:val="009F45D2"/>
    <w:rsid w:val="009F4916"/>
    <w:rsid w:val="009F49A7"/>
    <w:rsid w:val="009F4CC5"/>
    <w:rsid w:val="009F4D04"/>
    <w:rsid w:val="009F4D2A"/>
    <w:rsid w:val="009F4D8D"/>
    <w:rsid w:val="009F4DB1"/>
    <w:rsid w:val="009F5095"/>
    <w:rsid w:val="009F51C8"/>
    <w:rsid w:val="009F52CF"/>
    <w:rsid w:val="009F5319"/>
    <w:rsid w:val="009F55D6"/>
    <w:rsid w:val="009F5841"/>
    <w:rsid w:val="009F58D5"/>
    <w:rsid w:val="009F58E4"/>
    <w:rsid w:val="009F5A0F"/>
    <w:rsid w:val="009F5A14"/>
    <w:rsid w:val="009F5D28"/>
    <w:rsid w:val="009F5FCF"/>
    <w:rsid w:val="009F609E"/>
    <w:rsid w:val="009F61BC"/>
    <w:rsid w:val="009F6350"/>
    <w:rsid w:val="009F6756"/>
    <w:rsid w:val="009F679E"/>
    <w:rsid w:val="009F6AAF"/>
    <w:rsid w:val="009F6D2B"/>
    <w:rsid w:val="009F6D9C"/>
    <w:rsid w:val="009F6E15"/>
    <w:rsid w:val="009F6E8A"/>
    <w:rsid w:val="009F6FEA"/>
    <w:rsid w:val="009F705E"/>
    <w:rsid w:val="009F71EA"/>
    <w:rsid w:val="009F7255"/>
    <w:rsid w:val="009F72B6"/>
    <w:rsid w:val="009F730F"/>
    <w:rsid w:val="009F7467"/>
    <w:rsid w:val="009F78C1"/>
    <w:rsid w:val="009F78C6"/>
    <w:rsid w:val="009F7BF7"/>
    <w:rsid w:val="009F7C99"/>
    <w:rsid w:val="009F7DD2"/>
    <w:rsid w:val="009F7FAE"/>
    <w:rsid w:val="00A00041"/>
    <w:rsid w:val="00A001BE"/>
    <w:rsid w:val="00A001E1"/>
    <w:rsid w:val="00A00953"/>
    <w:rsid w:val="00A00BD1"/>
    <w:rsid w:val="00A00D2A"/>
    <w:rsid w:val="00A00F72"/>
    <w:rsid w:val="00A0105E"/>
    <w:rsid w:val="00A01078"/>
    <w:rsid w:val="00A013F7"/>
    <w:rsid w:val="00A01668"/>
    <w:rsid w:val="00A01761"/>
    <w:rsid w:val="00A018BD"/>
    <w:rsid w:val="00A019A8"/>
    <w:rsid w:val="00A01C76"/>
    <w:rsid w:val="00A021C6"/>
    <w:rsid w:val="00A025B9"/>
    <w:rsid w:val="00A025ED"/>
    <w:rsid w:val="00A027EF"/>
    <w:rsid w:val="00A0286A"/>
    <w:rsid w:val="00A02BA8"/>
    <w:rsid w:val="00A02C14"/>
    <w:rsid w:val="00A02C2C"/>
    <w:rsid w:val="00A02E03"/>
    <w:rsid w:val="00A03064"/>
    <w:rsid w:val="00A03192"/>
    <w:rsid w:val="00A03272"/>
    <w:rsid w:val="00A03295"/>
    <w:rsid w:val="00A033C7"/>
    <w:rsid w:val="00A036B2"/>
    <w:rsid w:val="00A037CF"/>
    <w:rsid w:val="00A038CC"/>
    <w:rsid w:val="00A03A63"/>
    <w:rsid w:val="00A03ADA"/>
    <w:rsid w:val="00A03C20"/>
    <w:rsid w:val="00A03C60"/>
    <w:rsid w:val="00A03CFD"/>
    <w:rsid w:val="00A03E45"/>
    <w:rsid w:val="00A041E0"/>
    <w:rsid w:val="00A0426E"/>
    <w:rsid w:val="00A043CA"/>
    <w:rsid w:val="00A043FB"/>
    <w:rsid w:val="00A0446D"/>
    <w:rsid w:val="00A04629"/>
    <w:rsid w:val="00A048DE"/>
    <w:rsid w:val="00A0498D"/>
    <w:rsid w:val="00A04F79"/>
    <w:rsid w:val="00A0504F"/>
    <w:rsid w:val="00A052AE"/>
    <w:rsid w:val="00A05506"/>
    <w:rsid w:val="00A0573A"/>
    <w:rsid w:val="00A0577D"/>
    <w:rsid w:val="00A05A1D"/>
    <w:rsid w:val="00A05CE2"/>
    <w:rsid w:val="00A05E5B"/>
    <w:rsid w:val="00A05F0B"/>
    <w:rsid w:val="00A060AA"/>
    <w:rsid w:val="00A060E2"/>
    <w:rsid w:val="00A06335"/>
    <w:rsid w:val="00A064C5"/>
    <w:rsid w:val="00A06519"/>
    <w:rsid w:val="00A0659A"/>
    <w:rsid w:val="00A06B21"/>
    <w:rsid w:val="00A06C41"/>
    <w:rsid w:val="00A06E0C"/>
    <w:rsid w:val="00A07093"/>
    <w:rsid w:val="00A0742E"/>
    <w:rsid w:val="00A07585"/>
    <w:rsid w:val="00A075DD"/>
    <w:rsid w:val="00A076B5"/>
    <w:rsid w:val="00A077E7"/>
    <w:rsid w:val="00A0782E"/>
    <w:rsid w:val="00A07853"/>
    <w:rsid w:val="00A078D3"/>
    <w:rsid w:val="00A07A02"/>
    <w:rsid w:val="00A07A26"/>
    <w:rsid w:val="00A07A55"/>
    <w:rsid w:val="00A07AF8"/>
    <w:rsid w:val="00A07BAB"/>
    <w:rsid w:val="00A07C63"/>
    <w:rsid w:val="00A07E1E"/>
    <w:rsid w:val="00A100AF"/>
    <w:rsid w:val="00A10139"/>
    <w:rsid w:val="00A102F3"/>
    <w:rsid w:val="00A1056C"/>
    <w:rsid w:val="00A105DE"/>
    <w:rsid w:val="00A10704"/>
    <w:rsid w:val="00A10730"/>
    <w:rsid w:val="00A108F3"/>
    <w:rsid w:val="00A1091D"/>
    <w:rsid w:val="00A10A38"/>
    <w:rsid w:val="00A10A89"/>
    <w:rsid w:val="00A10F4B"/>
    <w:rsid w:val="00A110DA"/>
    <w:rsid w:val="00A110DD"/>
    <w:rsid w:val="00A112AE"/>
    <w:rsid w:val="00A11678"/>
    <w:rsid w:val="00A1195A"/>
    <w:rsid w:val="00A119A8"/>
    <w:rsid w:val="00A119EC"/>
    <w:rsid w:val="00A11A64"/>
    <w:rsid w:val="00A11AEE"/>
    <w:rsid w:val="00A11B2A"/>
    <w:rsid w:val="00A11BDE"/>
    <w:rsid w:val="00A11F85"/>
    <w:rsid w:val="00A11FED"/>
    <w:rsid w:val="00A1207E"/>
    <w:rsid w:val="00A120D2"/>
    <w:rsid w:val="00A12122"/>
    <w:rsid w:val="00A12185"/>
    <w:rsid w:val="00A122FE"/>
    <w:rsid w:val="00A12639"/>
    <w:rsid w:val="00A126FD"/>
    <w:rsid w:val="00A128E2"/>
    <w:rsid w:val="00A129B3"/>
    <w:rsid w:val="00A12C43"/>
    <w:rsid w:val="00A12C98"/>
    <w:rsid w:val="00A12D8C"/>
    <w:rsid w:val="00A13155"/>
    <w:rsid w:val="00A131D6"/>
    <w:rsid w:val="00A13260"/>
    <w:rsid w:val="00A133EC"/>
    <w:rsid w:val="00A135A3"/>
    <w:rsid w:val="00A135FC"/>
    <w:rsid w:val="00A13670"/>
    <w:rsid w:val="00A13683"/>
    <w:rsid w:val="00A13838"/>
    <w:rsid w:val="00A139C3"/>
    <w:rsid w:val="00A139EE"/>
    <w:rsid w:val="00A13DC3"/>
    <w:rsid w:val="00A141B4"/>
    <w:rsid w:val="00A14315"/>
    <w:rsid w:val="00A144AA"/>
    <w:rsid w:val="00A14523"/>
    <w:rsid w:val="00A145E5"/>
    <w:rsid w:val="00A1461C"/>
    <w:rsid w:val="00A1497E"/>
    <w:rsid w:val="00A14A08"/>
    <w:rsid w:val="00A14A70"/>
    <w:rsid w:val="00A14B48"/>
    <w:rsid w:val="00A14C8E"/>
    <w:rsid w:val="00A14E08"/>
    <w:rsid w:val="00A14E29"/>
    <w:rsid w:val="00A14E73"/>
    <w:rsid w:val="00A14F51"/>
    <w:rsid w:val="00A150EF"/>
    <w:rsid w:val="00A154BF"/>
    <w:rsid w:val="00A15574"/>
    <w:rsid w:val="00A155D6"/>
    <w:rsid w:val="00A15618"/>
    <w:rsid w:val="00A15779"/>
    <w:rsid w:val="00A15932"/>
    <w:rsid w:val="00A15A4B"/>
    <w:rsid w:val="00A15A9F"/>
    <w:rsid w:val="00A15CA5"/>
    <w:rsid w:val="00A15DA4"/>
    <w:rsid w:val="00A15F04"/>
    <w:rsid w:val="00A15FAD"/>
    <w:rsid w:val="00A16026"/>
    <w:rsid w:val="00A162F7"/>
    <w:rsid w:val="00A163CF"/>
    <w:rsid w:val="00A165F7"/>
    <w:rsid w:val="00A166A5"/>
    <w:rsid w:val="00A169CE"/>
    <w:rsid w:val="00A17104"/>
    <w:rsid w:val="00A17121"/>
    <w:rsid w:val="00A1799E"/>
    <w:rsid w:val="00A17B25"/>
    <w:rsid w:val="00A17BB1"/>
    <w:rsid w:val="00A17C08"/>
    <w:rsid w:val="00A17C1B"/>
    <w:rsid w:val="00A17CA2"/>
    <w:rsid w:val="00A17E45"/>
    <w:rsid w:val="00A2001D"/>
    <w:rsid w:val="00A2015F"/>
    <w:rsid w:val="00A202BE"/>
    <w:rsid w:val="00A20582"/>
    <w:rsid w:val="00A20651"/>
    <w:rsid w:val="00A2092F"/>
    <w:rsid w:val="00A20B74"/>
    <w:rsid w:val="00A20C4B"/>
    <w:rsid w:val="00A20DFF"/>
    <w:rsid w:val="00A20E46"/>
    <w:rsid w:val="00A20F98"/>
    <w:rsid w:val="00A20FB2"/>
    <w:rsid w:val="00A210FB"/>
    <w:rsid w:val="00A211BC"/>
    <w:rsid w:val="00A21294"/>
    <w:rsid w:val="00A213C8"/>
    <w:rsid w:val="00A2182D"/>
    <w:rsid w:val="00A218F9"/>
    <w:rsid w:val="00A219B5"/>
    <w:rsid w:val="00A2216A"/>
    <w:rsid w:val="00A22561"/>
    <w:rsid w:val="00A2272A"/>
    <w:rsid w:val="00A2274A"/>
    <w:rsid w:val="00A22822"/>
    <w:rsid w:val="00A22824"/>
    <w:rsid w:val="00A228E0"/>
    <w:rsid w:val="00A229D4"/>
    <w:rsid w:val="00A22AEA"/>
    <w:rsid w:val="00A22AF3"/>
    <w:rsid w:val="00A22C45"/>
    <w:rsid w:val="00A22D54"/>
    <w:rsid w:val="00A2300A"/>
    <w:rsid w:val="00A23808"/>
    <w:rsid w:val="00A238B1"/>
    <w:rsid w:val="00A239DA"/>
    <w:rsid w:val="00A23A0E"/>
    <w:rsid w:val="00A23D4B"/>
    <w:rsid w:val="00A23DAE"/>
    <w:rsid w:val="00A241F8"/>
    <w:rsid w:val="00A24551"/>
    <w:rsid w:val="00A245E8"/>
    <w:rsid w:val="00A247C1"/>
    <w:rsid w:val="00A2489D"/>
    <w:rsid w:val="00A24AEB"/>
    <w:rsid w:val="00A24B73"/>
    <w:rsid w:val="00A24C1C"/>
    <w:rsid w:val="00A24F30"/>
    <w:rsid w:val="00A24FC7"/>
    <w:rsid w:val="00A251EE"/>
    <w:rsid w:val="00A25388"/>
    <w:rsid w:val="00A25418"/>
    <w:rsid w:val="00A2543A"/>
    <w:rsid w:val="00A2563C"/>
    <w:rsid w:val="00A256BE"/>
    <w:rsid w:val="00A25764"/>
    <w:rsid w:val="00A25D2E"/>
    <w:rsid w:val="00A25DBF"/>
    <w:rsid w:val="00A25FD2"/>
    <w:rsid w:val="00A25FEB"/>
    <w:rsid w:val="00A25FFD"/>
    <w:rsid w:val="00A26199"/>
    <w:rsid w:val="00A26411"/>
    <w:rsid w:val="00A26454"/>
    <w:rsid w:val="00A26510"/>
    <w:rsid w:val="00A26913"/>
    <w:rsid w:val="00A2696C"/>
    <w:rsid w:val="00A26B79"/>
    <w:rsid w:val="00A26F7F"/>
    <w:rsid w:val="00A26FE0"/>
    <w:rsid w:val="00A274E8"/>
    <w:rsid w:val="00A277E9"/>
    <w:rsid w:val="00A27B4A"/>
    <w:rsid w:val="00A27D51"/>
    <w:rsid w:val="00A30252"/>
    <w:rsid w:val="00A3034B"/>
    <w:rsid w:val="00A303CB"/>
    <w:rsid w:val="00A304BF"/>
    <w:rsid w:val="00A3077F"/>
    <w:rsid w:val="00A307A4"/>
    <w:rsid w:val="00A30BEA"/>
    <w:rsid w:val="00A30D8C"/>
    <w:rsid w:val="00A30DAE"/>
    <w:rsid w:val="00A30F69"/>
    <w:rsid w:val="00A3110E"/>
    <w:rsid w:val="00A31697"/>
    <w:rsid w:val="00A316A3"/>
    <w:rsid w:val="00A31948"/>
    <w:rsid w:val="00A31AB4"/>
    <w:rsid w:val="00A31F1A"/>
    <w:rsid w:val="00A32582"/>
    <w:rsid w:val="00A325FC"/>
    <w:rsid w:val="00A32719"/>
    <w:rsid w:val="00A32858"/>
    <w:rsid w:val="00A3286F"/>
    <w:rsid w:val="00A328FF"/>
    <w:rsid w:val="00A32900"/>
    <w:rsid w:val="00A32B55"/>
    <w:rsid w:val="00A3315E"/>
    <w:rsid w:val="00A3334C"/>
    <w:rsid w:val="00A3357E"/>
    <w:rsid w:val="00A337AB"/>
    <w:rsid w:val="00A3382B"/>
    <w:rsid w:val="00A339D2"/>
    <w:rsid w:val="00A33AD1"/>
    <w:rsid w:val="00A33C5C"/>
    <w:rsid w:val="00A33C7E"/>
    <w:rsid w:val="00A33DD2"/>
    <w:rsid w:val="00A33F61"/>
    <w:rsid w:val="00A340DE"/>
    <w:rsid w:val="00A34141"/>
    <w:rsid w:val="00A34246"/>
    <w:rsid w:val="00A3431A"/>
    <w:rsid w:val="00A344A7"/>
    <w:rsid w:val="00A34575"/>
    <w:rsid w:val="00A345D0"/>
    <w:rsid w:val="00A345E2"/>
    <w:rsid w:val="00A349A0"/>
    <w:rsid w:val="00A349B2"/>
    <w:rsid w:val="00A34A26"/>
    <w:rsid w:val="00A34AC0"/>
    <w:rsid w:val="00A34DB1"/>
    <w:rsid w:val="00A34DE7"/>
    <w:rsid w:val="00A34F87"/>
    <w:rsid w:val="00A351E4"/>
    <w:rsid w:val="00A35229"/>
    <w:rsid w:val="00A35311"/>
    <w:rsid w:val="00A35425"/>
    <w:rsid w:val="00A35454"/>
    <w:rsid w:val="00A35750"/>
    <w:rsid w:val="00A35782"/>
    <w:rsid w:val="00A359A7"/>
    <w:rsid w:val="00A35C3B"/>
    <w:rsid w:val="00A35D0F"/>
    <w:rsid w:val="00A35D6D"/>
    <w:rsid w:val="00A35E8E"/>
    <w:rsid w:val="00A35EA0"/>
    <w:rsid w:val="00A3602D"/>
    <w:rsid w:val="00A3608C"/>
    <w:rsid w:val="00A360DA"/>
    <w:rsid w:val="00A36346"/>
    <w:rsid w:val="00A363A4"/>
    <w:rsid w:val="00A363BC"/>
    <w:rsid w:val="00A3649C"/>
    <w:rsid w:val="00A365B1"/>
    <w:rsid w:val="00A36789"/>
    <w:rsid w:val="00A367D7"/>
    <w:rsid w:val="00A367E4"/>
    <w:rsid w:val="00A36900"/>
    <w:rsid w:val="00A369CD"/>
    <w:rsid w:val="00A36BD3"/>
    <w:rsid w:val="00A36CEA"/>
    <w:rsid w:val="00A36D7D"/>
    <w:rsid w:val="00A36E03"/>
    <w:rsid w:val="00A370C2"/>
    <w:rsid w:val="00A37236"/>
    <w:rsid w:val="00A373A9"/>
    <w:rsid w:val="00A373C1"/>
    <w:rsid w:val="00A37650"/>
    <w:rsid w:val="00A3768C"/>
    <w:rsid w:val="00A37BE1"/>
    <w:rsid w:val="00A37DF4"/>
    <w:rsid w:val="00A37F70"/>
    <w:rsid w:val="00A4015A"/>
    <w:rsid w:val="00A401EF"/>
    <w:rsid w:val="00A40350"/>
    <w:rsid w:val="00A406A5"/>
    <w:rsid w:val="00A40BDB"/>
    <w:rsid w:val="00A40C31"/>
    <w:rsid w:val="00A40C91"/>
    <w:rsid w:val="00A40E3C"/>
    <w:rsid w:val="00A412F7"/>
    <w:rsid w:val="00A41418"/>
    <w:rsid w:val="00A41741"/>
    <w:rsid w:val="00A418BD"/>
    <w:rsid w:val="00A41F40"/>
    <w:rsid w:val="00A41F87"/>
    <w:rsid w:val="00A42012"/>
    <w:rsid w:val="00A42356"/>
    <w:rsid w:val="00A42456"/>
    <w:rsid w:val="00A426D5"/>
    <w:rsid w:val="00A428C1"/>
    <w:rsid w:val="00A42971"/>
    <w:rsid w:val="00A42A0E"/>
    <w:rsid w:val="00A42B6D"/>
    <w:rsid w:val="00A42D53"/>
    <w:rsid w:val="00A42E0D"/>
    <w:rsid w:val="00A42E8F"/>
    <w:rsid w:val="00A42E91"/>
    <w:rsid w:val="00A42F44"/>
    <w:rsid w:val="00A43104"/>
    <w:rsid w:val="00A43155"/>
    <w:rsid w:val="00A431E2"/>
    <w:rsid w:val="00A432C0"/>
    <w:rsid w:val="00A43372"/>
    <w:rsid w:val="00A433A5"/>
    <w:rsid w:val="00A4353F"/>
    <w:rsid w:val="00A436B9"/>
    <w:rsid w:val="00A439CD"/>
    <w:rsid w:val="00A43BC4"/>
    <w:rsid w:val="00A43E2F"/>
    <w:rsid w:val="00A43FA3"/>
    <w:rsid w:val="00A44037"/>
    <w:rsid w:val="00A442BA"/>
    <w:rsid w:val="00A442E8"/>
    <w:rsid w:val="00A4463E"/>
    <w:rsid w:val="00A44777"/>
    <w:rsid w:val="00A44A27"/>
    <w:rsid w:val="00A44FB3"/>
    <w:rsid w:val="00A450B7"/>
    <w:rsid w:val="00A4515F"/>
    <w:rsid w:val="00A4534C"/>
    <w:rsid w:val="00A453E0"/>
    <w:rsid w:val="00A453E4"/>
    <w:rsid w:val="00A45544"/>
    <w:rsid w:val="00A45546"/>
    <w:rsid w:val="00A45574"/>
    <w:rsid w:val="00A455C5"/>
    <w:rsid w:val="00A45622"/>
    <w:rsid w:val="00A4564C"/>
    <w:rsid w:val="00A45715"/>
    <w:rsid w:val="00A4582C"/>
    <w:rsid w:val="00A45833"/>
    <w:rsid w:val="00A45893"/>
    <w:rsid w:val="00A45E0C"/>
    <w:rsid w:val="00A45E3B"/>
    <w:rsid w:val="00A45EF2"/>
    <w:rsid w:val="00A460B7"/>
    <w:rsid w:val="00A4616A"/>
    <w:rsid w:val="00A4637A"/>
    <w:rsid w:val="00A463C9"/>
    <w:rsid w:val="00A46443"/>
    <w:rsid w:val="00A4651A"/>
    <w:rsid w:val="00A465D3"/>
    <w:rsid w:val="00A46609"/>
    <w:rsid w:val="00A46715"/>
    <w:rsid w:val="00A4672B"/>
    <w:rsid w:val="00A46873"/>
    <w:rsid w:val="00A46880"/>
    <w:rsid w:val="00A4745B"/>
    <w:rsid w:val="00A47744"/>
    <w:rsid w:val="00A477EE"/>
    <w:rsid w:val="00A47878"/>
    <w:rsid w:val="00A4794B"/>
    <w:rsid w:val="00A47955"/>
    <w:rsid w:val="00A4799E"/>
    <w:rsid w:val="00A47AB9"/>
    <w:rsid w:val="00A47AEF"/>
    <w:rsid w:val="00A47B59"/>
    <w:rsid w:val="00A47BA4"/>
    <w:rsid w:val="00A47C90"/>
    <w:rsid w:val="00A47C96"/>
    <w:rsid w:val="00A47D61"/>
    <w:rsid w:val="00A47D84"/>
    <w:rsid w:val="00A5008A"/>
    <w:rsid w:val="00A50191"/>
    <w:rsid w:val="00A5085A"/>
    <w:rsid w:val="00A50A02"/>
    <w:rsid w:val="00A50C6B"/>
    <w:rsid w:val="00A50E5C"/>
    <w:rsid w:val="00A50FEB"/>
    <w:rsid w:val="00A515F2"/>
    <w:rsid w:val="00A51789"/>
    <w:rsid w:val="00A51B0A"/>
    <w:rsid w:val="00A51DD5"/>
    <w:rsid w:val="00A51FBB"/>
    <w:rsid w:val="00A52251"/>
    <w:rsid w:val="00A522A5"/>
    <w:rsid w:val="00A524AA"/>
    <w:rsid w:val="00A524FB"/>
    <w:rsid w:val="00A525EF"/>
    <w:rsid w:val="00A5287E"/>
    <w:rsid w:val="00A52C23"/>
    <w:rsid w:val="00A52CFB"/>
    <w:rsid w:val="00A52D73"/>
    <w:rsid w:val="00A52E45"/>
    <w:rsid w:val="00A53379"/>
    <w:rsid w:val="00A53B16"/>
    <w:rsid w:val="00A53C27"/>
    <w:rsid w:val="00A53E30"/>
    <w:rsid w:val="00A53E72"/>
    <w:rsid w:val="00A53FBC"/>
    <w:rsid w:val="00A54113"/>
    <w:rsid w:val="00A54130"/>
    <w:rsid w:val="00A545B8"/>
    <w:rsid w:val="00A545DE"/>
    <w:rsid w:val="00A5463F"/>
    <w:rsid w:val="00A54AB3"/>
    <w:rsid w:val="00A54B30"/>
    <w:rsid w:val="00A54BDF"/>
    <w:rsid w:val="00A54DF6"/>
    <w:rsid w:val="00A55051"/>
    <w:rsid w:val="00A55119"/>
    <w:rsid w:val="00A55263"/>
    <w:rsid w:val="00A55275"/>
    <w:rsid w:val="00A5543F"/>
    <w:rsid w:val="00A55467"/>
    <w:rsid w:val="00A55756"/>
    <w:rsid w:val="00A55C49"/>
    <w:rsid w:val="00A55C56"/>
    <w:rsid w:val="00A55C9F"/>
    <w:rsid w:val="00A56098"/>
    <w:rsid w:val="00A560B4"/>
    <w:rsid w:val="00A5681A"/>
    <w:rsid w:val="00A56A8E"/>
    <w:rsid w:val="00A56C1A"/>
    <w:rsid w:val="00A56D40"/>
    <w:rsid w:val="00A57030"/>
    <w:rsid w:val="00A57131"/>
    <w:rsid w:val="00A5736E"/>
    <w:rsid w:val="00A574C4"/>
    <w:rsid w:val="00A57707"/>
    <w:rsid w:val="00A57887"/>
    <w:rsid w:val="00A57949"/>
    <w:rsid w:val="00A57995"/>
    <w:rsid w:val="00A57B35"/>
    <w:rsid w:val="00A57C85"/>
    <w:rsid w:val="00A57CA7"/>
    <w:rsid w:val="00A57D97"/>
    <w:rsid w:val="00A57DFC"/>
    <w:rsid w:val="00A60020"/>
    <w:rsid w:val="00A600D7"/>
    <w:rsid w:val="00A60302"/>
    <w:rsid w:val="00A6034E"/>
    <w:rsid w:val="00A60368"/>
    <w:rsid w:val="00A60473"/>
    <w:rsid w:val="00A60535"/>
    <w:rsid w:val="00A606C2"/>
    <w:rsid w:val="00A608AC"/>
    <w:rsid w:val="00A60934"/>
    <w:rsid w:val="00A60A7F"/>
    <w:rsid w:val="00A60C0C"/>
    <w:rsid w:val="00A60DA1"/>
    <w:rsid w:val="00A60E83"/>
    <w:rsid w:val="00A6106B"/>
    <w:rsid w:val="00A6110C"/>
    <w:rsid w:val="00A6112F"/>
    <w:rsid w:val="00A61202"/>
    <w:rsid w:val="00A61363"/>
    <w:rsid w:val="00A6137C"/>
    <w:rsid w:val="00A6138C"/>
    <w:rsid w:val="00A6143C"/>
    <w:rsid w:val="00A614E7"/>
    <w:rsid w:val="00A615D1"/>
    <w:rsid w:val="00A61B78"/>
    <w:rsid w:val="00A61CE1"/>
    <w:rsid w:val="00A61DDC"/>
    <w:rsid w:val="00A61E34"/>
    <w:rsid w:val="00A62257"/>
    <w:rsid w:val="00A6233D"/>
    <w:rsid w:val="00A6266B"/>
    <w:rsid w:val="00A62801"/>
    <w:rsid w:val="00A62898"/>
    <w:rsid w:val="00A62A80"/>
    <w:rsid w:val="00A62AF0"/>
    <w:rsid w:val="00A62C41"/>
    <w:rsid w:val="00A62D3A"/>
    <w:rsid w:val="00A62D75"/>
    <w:rsid w:val="00A62DEF"/>
    <w:rsid w:val="00A6327B"/>
    <w:rsid w:val="00A63307"/>
    <w:rsid w:val="00A6339C"/>
    <w:rsid w:val="00A6340F"/>
    <w:rsid w:val="00A63876"/>
    <w:rsid w:val="00A63959"/>
    <w:rsid w:val="00A6396F"/>
    <w:rsid w:val="00A63A16"/>
    <w:rsid w:val="00A63A64"/>
    <w:rsid w:val="00A63BAE"/>
    <w:rsid w:val="00A63C26"/>
    <w:rsid w:val="00A63DAA"/>
    <w:rsid w:val="00A63DDD"/>
    <w:rsid w:val="00A63E29"/>
    <w:rsid w:val="00A63EA0"/>
    <w:rsid w:val="00A64122"/>
    <w:rsid w:val="00A6449A"/>
    <w:rsid w:val="00A64527"/>
    <w:rsid w:val="00A648A1"/>
    <w:rsid w:val="00A648F8"/>
    <w:rsid w:val="00A64988"/>
    <w:rsid w:val="00A64B21"/>
    <w:rsid w:val="00A64CCF"/>
    <w:rsid w:val="00A64E1C"/>
    <w:rsid w:val="00A65172"/>
    <w:rsid w:val="00A652F5"/>
    <w:rsid w:val="00A6536A"/>
    <w:rsid w:val="00A655C3"/>
    <w:rsid w:val="00A655FF"/>
    <w:rsid w:val="00A6567B"/>
    <w:rsid w:val="00A65E3F"/>
    <w:rsid w:val="00A65FAF"/>
    <w:rsid w:val="00A6600E"/>
    <w:rsid w:val="00A6620D"/>
    <w:rsid w:val="00A66369"/>
    <w:rsid w:val="00A663D7"/>
    <w:rsid w:val="00A6648C"/>
    <w:rsid w:val="00A6648E"/>
    <w:rsid w:val="00A6650E"/>
    <w:rsid w:val="00A66FE1"/>
    <w:rsid w:val="00A67059"/>
    <w:rsid w:val="00A67095"/>
    <w:rsid w:val="00A67117"/>
    <w:rsid w:val="00A672E8"/>
    <w:rsid w:val="00A672EA"/>
    <w:rsid w:val="00A67392"/>
    <w:rsid w:val="00A673A4"/>
    <w:rsid w:val="00A67563"/>
    <w:rsid w:val="00A67838"/>
    <w:rsid w:val="00A67AB9"/>
    <w:rsid w:val="00A67BEF"/>
    <w:rsid w:val="00A67F70"/>
    <w:rsid w:val="00A70164"/>
    <w:rsid w:val="00A70182"/>
    <w:rsid w:val="00A70444"/>
    <w:rsid w:val="00A70BA6"/>
    <w:rsid w:val="00A70C2A"/>
    <w:rsid w:val="00A70CA3"/>
    <w:rsid w:val="00A71200"/>
    <w:rsid w:val="00A7139A"/>
    <w:rsid w:val="00A713E6"/>
    <w:rsid w:val="00A71404"/>
    <w:rsid w:val="00A71637"/>
    <w:rsid w:val="00A71673"/>
    <w:rsid w:val="00A716F8"/>
    <w:rsid w:val="00A71754"/>
    <w:rsid w:val="00A71A87"/>
    <w:rsid w:val="00A71ACD"/>
    <w:rsid w:val="00A71AF8"/>
    <w:rsid w:val="00A71BA5"/>
    <w:rsid w:val="00A71BBB"/>
    <w:rsid w:val="00A71D76"/>
    <w:rsid w:val="00A71D8B"/>
    <w:rsid w:val="00A71DD8"/>
    <w:rsid w:val="00A71DF1"/>
    <w:rsid w:val="00A71EA4"/>
    <w:rsid w:val="00A71F6D"/>
    <w:rsid w:val="00A71F86"/>
    <w:rsid w:val="00A72004"/>
    <w:rsid w:val="00A7201A"/>
    <w:rsid w:val="00A722D4"/>
    <w:rsid w:val="00A72304"/>
    <w:rsid w:val="00A723AB"/>
    <w:rsid w:val="00A72412"/>
    <w:rsid w:val="00A72533"/>
    <w:rsid w:val="00A72541"/>
    <w:rsid w:val="00A72846"/>
    <w:rsid w:val="00A72B40"/>
    <w:rsid w:val="00A72BA7"/>
    <w:rsid w:val="00A72EFF"/>
    <w:rsid w:val="00A72F36"/>
    <w:rsid w:val="00A73486"/>
    <w:rsid w:val="00A73587"/>
    <w:rsid w:val="00A73858"/>
    <w:rsid w:val="00A739D7"/>
    <w:rsid w:val="00A73AD7"/>
    <w:rsid w:val="00A73B06"/>
    <w:rsid w:val="00A73D7B"/>
    <w:rsid w:val="00A73ECB"/>
    <w:rsid w:val="00A73F23"/>
    <w:rsid w:val="00A73F8A"/>
    <w:rsid w:val="00A741E0"/>
    <w:rsid w:val="00A74418"/>
    <w:rsid w:val="00A74598"/>
    <w:rsid w:val="00A747EE"/>
    <w:rsid w:val="00A748A1"/>
    <w:rsid w:val="00A74905"/>
    <w:rsid w:val="00A74921"/>
    <w:rsid w:val="00A749E2"/>
    <w:rsid w:val="00A74E1E"/>
    <w:rsid w:val="00A750FC"/>
    <w:rsid w:val="00A753E5"/>
    <w:rsid w:val="00A75640"/>
    <w:rsid w:val="00A75644"/>
    <w:rsid w:val="00A75892"/>
    <w:rsid w:val="00A75A62"/>
    <w:rsid w:val="00A75B95"/>
    <w:rsid w:val="00A75E1F"/>
    <w:rsid w:val="00A75E4F"/>
    <w:rsid w:val="00A7612E"/>
    <w:rsid w:val="00A76133"/>
    <w:rsid w:val="00A761C7"/>
    <w:rsid w:val="00A7625C"/>
    <w:rsid w:val="00A762A4"/>
    <w:rsid w:val="00A764F4"/>
    <w:rsid w:val="00A76506"/>
    <w:rsid w:val="00A76588"/>
    <w:rsid w:val="00A7659E"/>
    <w:rsid w:val="00A765A1"/>
    <w:rsid w:val="00A765A8"/>
    <w:rsid w:val="00A765F1"/>
    <w:rsid w:val="00A766F8"/>
    <w:rsid w:val="00A7677B"/>
    <w:rsid w:val="00A7684A"/>
    <w:rsid w:val="00A76B03"/>
    <w:rsid w:val="00A76D41"/>
    <w:rsid w:val="00A76ED3"/>
    <w:rsid w:val="00A77144"/>
    <w:rsid w:val="00A77235"/>
    <w:rsid w:val="00A77848"/>
    <w:rsid w:val="00A77912"/>
    <w:rsid w:val="00A779EF"/>
    <w:rsid w:val="00A77B04"/>
    <w:rsid w:val="00A77B3D"/>
    <w:rsid w:val="00A77C82"/>
    <w:rsid w:val="00A77D5A"/>
    <w:rsid w:val="00A77D68"/>
    <w:rsid w:val="00A803B2"/>
    <w:rsid w:val="00A80412"/>
    <w:rsid w:val="00A80485"/>
    <w:rsid w:val="00A80644"/>
    <w:rsid w:val="00A80757"/>
    <w:rsid w:val="00A80AB4"/>
    <w:rsid w:val="00A80C29"/>
    <w:rsid w:val="00A80CED"/>
    <w:rsid w:val="00A810F1"/>
    <w:rsid w:val="00A8119D"/>
    <w:rsid w:val="00A81244"/>
    <w:rsid w:val="00A812BC"/>
    <w:rsid w:val="00A81392"/>
    <w:rsid w:val="00A815BE"/>
    <w:rsid w:val="00A817D4"/>
    <w:rsid w:val="00A8194C"/>
    <w:rsid w:val="00A81BB6"/>
    <w:rsid w:val="00A81CAF"/>
    <w:rsid w:val="00A81D43"/>
    <w:rsid w:val="00A820E5"/>
    <w:rsid w:val="00A8211A"/>
    <w:rsid w:val="00A82193"/>
    <w:rsid w:val="00A8227D"/>
    <w:rsid w:val="00A822B2"/>
    <w:rsid w:val="00A82413"/>
    <w:rsid w:val="00A824B5"/>
    <w:rsid w:val="00A82546"/>
    <w:rsid w:val="00A825FC"/>
    <w:rsid w:val="00A82685"/>
    <w:rsid w:val="00A82CD3"/>
    <w:rsid w:val="00A83017"/>
    <w:rsid w:val="00A830D6"/>
    <w:rsid w:val="00A83401"/>
    <w:rsid w:val="00A8343E"/>
    <w:rsid w:val="00A83459"/>
    <w:rsid w:val="00A834CE"/>
    <w:rsid w:val="00A83622"/>
    <w:rsid w:val="00A836AD"/>
    <w:rsid w:val="00A8375B"/>
    <w:rsid w:val="00A83806"/>
    <w:rsid w:val="00A83807"/>
    <w:rsid w:val="00A83F33"/>
    <w:rsid w:val="00A84099"/>
    <w:rsid w:val="00A8417B"/>
    <w:rsid w:val="00A841CA"/>
    <w:rsid w:val="00A841DF"/>
    <w:rsid w:val="00A8422F"/>
    <w:rsid w:val="00A844C1"/>
    <w:rsid w:val="00A845EF"/>
    <w:rsid w:val="00A8472C"/>
    <w:rsid w:val="00A847E9"/>
    <w:rsid w:val="00A849DE"/>
    <w:rsid w:val="00A84A2A"/>
    <w:rsid w:val="00A84A63"/>
    <w:rsid w:val="00A84A6C"/>
    <w:rsid w:val="00A84DAD"/>
    <w:rsid w:val="00A84E39"/>
    <w:rsid w:val="00A85072"/>
    <w:rsid w:val="00A8554E"/>
    <w:rsid w:val="00A856E4"/>
    <w:rsid w:val="00A85792"/>
    <w:rsid w:val="00A85796"/>
    <w:rsid w:val="00A858D6"/>
    <w:rsid w:val="00A85C56"/>
    <w:rsid w:val="00A85DE7"/>
    <w:rsid w:val="00A85E23"/>
    <w:rsid w:val="00A85F4E"/>
    <w:rsid w:val="00A860F3"/>
    <w:rsid w:val="00A8620A"/>
    <w:rsid w:val="00A86245"/>
    <w:rsid w:val="00A86450"/>
    <w:rsid w:val="00A866CE"/>
    <w:rsid w:val="00A868BC"/>
    <w:rsid w:val="00A869B7"/>
    <w:rsid w:val="00A86A72"/>
    <w:rsid w:val="00A86CD2"/>
    <w:rsid w:val="00A86D43"/>
    <w:rsid w:val="00A86E26"/>
    <w:rsid w:val="00A87050"/>
    <w:rsid w:val="00A870F8"/>
    <w:rsid w:val="00A87B30"/>
    <w:rsid w:val="00A87C5A"/>
    <w:rsid w:val="00A87C5C"/>
    <w:rsid w:val="00A87F27"/>
    <w:rsid w:val="00A87FF6"/>
    <w:rsid w:val="00A90105"/>
    <w:rsid w:val="00A9026B"/>
    <w:rsid w:val="00A906E2"/>
    <w:rsid w:val="00A907C1"/>
    <w:rsid w:val="00A907C6"/>
    <w:rsid w:val="00A90836"/>
    <w:rsid w:val="00A90988"/>
    <w:rsid w:val="00A90C35"/>
    <w:rsid w:val="00A90FAB"/>
    <w:rsid w:val="00A910C8"/>
    <w:rsid w:val="00A9117B"/>
    <w:rsid w:val="00A91280"/>
    <w:rsid w:val="00A9136C"/>
    <w:rsid w:val="00A913BD"/>
    <w:rsid w:val="00A9176A"/>
    <w:rsid w:val="00A917C0"/>
    <w:rsid w:val="00A917E5"/>
    <w:rsid w:val="00A919A2"/>
    <w:rsid w:val="00A919DF"/>
    <w:rsid w:val="00A91A24"/>
    <w:rsid w:val="00A91A28"/>
    <w:rsid w:val="00A91AA5"/>
    <w:rsid w:val="00A91C34"/>
    <w:rsid w:val="00A91D98"/>
    <w:rsid w:val="00A91DBD"/>
    <w:rsid w:val="00A91FCA"/>
    <w:rsid w:val="00A92597"/>
    <w:rsid w:val="00A928B5"/>
    <w:rsid w:val="00A928CB"/>
    <w:rsid w:val="00A92A27"/>
    <w:rsid w:val="00A92AA9"/>
    <w:rsid w:val="00A92BB1"/>
    <w:rsid w:val="00A92DC9"/>
    <w:rsid w:val="00A92DDD"/>
    <w:rsid w:val="00A92F2D"/>
    <w:rsid w:val="00A92FBF"/>
    <w:rsid w:val="00A930D1"/>
    <w:rsid w:val="00A93116"/>
    <w:rsid w:val="00A93217"/>
    <w:rsid w:val="00A9324D"/>
    <w:rsid w:val="00A932D8"/>
    <w:rsid w:val="00A93538"/>
    <w:rsid w:val="00A9374D"/>
    <w:rsid w:val="00A9382F"/>
    <w:rsid w:val="00A93A7C"/>
    <w:rsid w:val="00A93BFF"/>
    <w:rsid w:val="00A93EF6"/>
    <w:rsid w:val="00A93FEC"/>
    <w:rsid w:val="00A940B7"/>
    <w:rsid w:val="00A945C6"/>
    <w:rsid w:val="00A94817"/>
    <w:rsid w:val="00A9485E"/>
    <w:rsid w:val="00A94A63"/>
    <w:rsid w:val="00A94BF3"/>
    <w:rsid w:val="00A94CAF"/>
    <w:rsid w:val="00A94CE1"/>
    <w:rsid w:val="00A94EBF"/>
    <w:rsid w:val="00A94EF3"/>
    <w:rsid w:val="00A952EC"/>
    <w:rsid w:val="00A953B8"/>
    <w:rsid w:val="00A95523"/>
    <w:rsid w:val="00A95624"/>
    <w:rsid w:val="00A95BF7"/>
    <w:rsid w:val="00A95C73"/>
    <w:rsid w:val="00A95CDE"/>
    <w:rsid w:val="00A95D6E"/>
    <w:rsid w:val="00A95D78"/>
    <w:rsid w:val="00A961EA"/>
    <w:rsid w:val="00A962FD"/>
    <w:rsid w:val="00A963B3"/>
    <w:rsid w:val="00A9650F"/>
    <w:rsid w:val="00A9652D"/>
    <w:rsid w:val="00A96645"/>
    <w:rsid w:val="00A9666D"/>
    <w:rsid w:val="00A96982"/>
    <w:rsid w:val="00A96B45"/>
    <w:rsid w:val="00A96B8F"/>
    <w:rsid w:val="00A96CDE"/>
    <w:rsid w:val="00A96E9D"/>
    <w:rsid w:val="00A96ED5"/>
    <w:rsid w:val="00A96F09"/>
    <w:rsid w:val="00A97153"/>
    <w:rsid w:val="00A971F5"/>
    <w:rsid w:val="00A97340"/>
    <w:rsid w:val="00A973BE"/>
    <w:rsid w:val="00A97561"/>
    <w:rsid w:val="00A97665"/>
    <w:rsid w:val="00A976C1"/>
    <w:rsid w:val="00A97CC9"/>
    <w:rsid w:val="00A97DAB"/>
    <w:rsid w:val="00A97EC9"/>
    <w:rsid w:val="00A97F58"/>
    <w:rsid w:val="00A97FAC"/>
    <w:rsid w:val="00AA0289"/>
    <w:rsid w:val="00AA0390"/>
    <w:rsid w:val="00AA055B"/>
    <w:rsid w:val="00AA0724"/>
    <w:rsid w:val="00AA074D"/>
    <w:rsid w:val="00AA0A30"/>
    <w:rsid w:val="00AA0BC5"/>
    <w:rsid w:val="00AA0BDD"/>
    <w:rsid w:val="00AA0D19"/>
    <w:rsid w:val="00AA0D8C"/>
    <w:rsid w:val="00AA0E9D"/>
    <w:rsid w:val="00AA0EEB"/>
    <w:rsid w:val="00AA0FFF"/>
    <w:rsid w:val="00AA10C8"/>
    <w:rsid w:val="00AA112B"/>
    <w:rsid w:val="00AA147D"/>
    <w:rsid w:val="00AA1544"/>
    <w:rsid w:val="00AA155E"/>
    <w:rsid w:val="00AA1588"/>
    <w:rsid w:val="00AA16A9"/>
    <w:rsid w:val="00AA1C02"/>
    <w:rsid w:val="00AA1C63"/>
    <w:rsid w:val="00AA1E19"/>
    <w:rsid w:val="00AA2060"/>
    <w:rsid w:val="00AA2226"/>
    <w:rsid w:val="00AA2540"/>
    <w:rsid w:val="00AA3055"/>
    <w:rsid w:val="00AA30C7"/>
    <w:rsid w:val="00AA35E5"/>
    <w:rsid w:val="00AA3A1F"/>
    <w:rsid w:val="00AA3BDF"/>
    <w:rsid w:val="00AA3D69"/>
    <w:rsid w:val="00AA403F"/>
    <w:rsid w:val="00AA40FE"/>
    <w:rsid w:val="00AA41CA"/>
    <w:rsid w:val="00AA4450"/>
    <w:rsid w:val="00AA44E2"/>
    <w:rsid w:val="00AA4DDF"/>
    <w:rsid w:val="00AA5082"/>
    <w:rsid w:val="00AA53D8"/>
    <w:rsid w:val="00AA548F"/>
    <w:rsid w:val="00AA54D1"/>
    <w:rsid w:val="00AA5550"/>
    <w:rsid w:val="00AA569E"/>
    <w:rsid w:val="00AA56BB"/>
    <w:rsid w:val="00AA573B"/>
    <w:rsid w:val="00AA5740"/>
    <w:rsid w:val="00AA57E7"/>
    <w:rsid w:val="00AA5855"/>
    <w:rsid w:val="00AA5ACF"/>
    <w:rsid w:val="00AA5EF7"/>
    <w:rsid w:val="00AA62A8"/>
    <w:rsid w:val="00AA646C"/>
    <w:rsid w:val="00AA663C"/>
    <w:rsid w:val="00AA6785"/>
    <w:rsid w:val="00AA68CE"/>
    <w:rsid w:val="00AA6975"/>
    <w:rsid w:val="00AA6995"/>
    <w:rsid w:val="00AA6A50"/>
    <w:rsid w:val="00AA6A67"/>
    <w:rsid w:val="00AA6A90"/>
    <w:rsid w:val="00AA6B7C"/>
    <w:rsid w:val="00AA6C4F"/>
    <w:rsid w:val="00AA6D68"/>
    <w:rsid w:val="00AA6E96"/>
    <w:rsid w:val="00AA72B2"/>
    <w:rsid w:val="00AA74EE"/>
    <w:rsid w:val="00AA74F2"/>
    <w:rsid w:val="00AA75FB"/>
    <w:rsid w:val="00AA7614"/>
    <w:rsid w:val="00AA777E"/>
    <w:rsid w:val="00AA7781"/>
    <w:rsid w:val="00AA78AA"/>
    <w:rsid w:val="00AA7908"/>
    <w:rsid w:val="00AA7C63"/>
    <w:rsid w:val="00AA7F4E"/>
    <w:rsid w:val="00AB00D9"/>
    <w:rsid w:val="00AB0136"/>
    <w:rsid w:val="00AB035C"/>
    <w:rsid w:val="00AB0395"/>
    <w:rsid w:val="00AB065E"/>
    <w:rsid w:val="00AB0681"/>
    <w:rsid w:val="00AB06EC"/>
    <w:rsid w:val="00AB0978"/>
    <w:rsid w:val="00AB097B"/>
    <w:rsid w:val="00AB0A1A"/>
    <w:rsid w:val="00AB0B18"/>
    <w:rsid w:val="00AB0B81"/>
    <w:rsid w:val="00AB0BD6"/>
    <w:rsid w:val="00AB0E6D"/>
    <w:rsid w:val="00AB0E6F"/>
    <w:rsid w:val="00AB12AF"/>
    <w:rsid w:val="00AB12EC"/>
    <w:rsid w:val="00AB1356"/>
    <w:rsid w:val="00AB1433"/>
    <w:rsid w:val="00AB146C"/>
    <w:rsid w:val="00AB14AB"/>
    <w:rsid w:val="00AB1572"/>
    <w:rsid w:val="00AB15F2"/>
    <w:rsid w:val="00AB1720"/>
    <w:rsid w:val="00AB175C"/>
    <w:rsid w:val="00AB18E9"/>
    <w:rsid w:val="00AB1916"/>
    <w:rsid w:val="00AB196F"/>
    <w:rsid w:val="00AB1C0B"/>
    <w:rsid w:val="00AB1C3E"/>
    <w:rsid w:val="00AB1DC0"/>
    <w:rsid w:val="00AB1E38"/>
    <w:rsid w:val="00AB2027"/>
    <w:rsid w:val="00AB2197"/>
    <w:rsid w:val="00AB21E6"/>
    <w:rsid w:val="00AB235C"/>
    <w:rsid w:val="00AB263C"/>
    <w:rsid w:val="00AB2820"/>
    <w:rsid w:val="00AB2836"/>
    <w:rsid w:val="00AB2A6B"/>
    <w:rsid w:val="00AB2AB6"/>
    <w:rsid w:val="00AB2B83"/>
    <w:rsid w:val="00AB2D91"/>
    <w:rsid w:val="00AB301B"/>
    <w:rsid w:val="00AB30A7"/>
    <w:rsid w:val="00AB3149"/>
    <w:rsid w:val="00AB3169"/>
    <w:rsid w:val="00AB32B9"/>
    <w:rsid w:val="00AB35EA"/>
    <w:rsid w:val="00AB3656"/>
    <w:rsid w:val="00AB3885"/>
    <w:rsid w:val="00AB38A8"/>
    <w:rsid w:val="00AB38C2"/>
    <w:rsid w:val="00AB3A7B"/>
    <w:rsid w:val="00AB3ADF"/>
    <w:rsid w:val="00AB3DAC"/>
    <w:rsid w:val="00AB3E26"/>
    <w:rsid w:val="00AB3FB3"/>
    <w:rsid w:val="00AB3FD5"/>
    <w:rsid w:val="00AB4083"/>
    <w:rsid w:val="00AB41C0"/>
    <w:rsid w:val="00AB428F"/>
    <w:rsid w:val="00AB45BC"/>
    <w:rsid w:val="00AB470A"/>
    <w:rsid w:val="00AB470C"/>
    <w:rsid w:val="00AB478C"/>
    <w:rsid w:val="00AB47B4"/>
    <w:rsid w:val="00AB480D"/>
    <w:rsid w:val="00AB4866"/>
    <w:rsid w:val="00AB4930"/>
    <w:rsid w:val="00AB4B62"/>
    <w:rsid w:val="00AB4D20"/>
    <w:rsid w:val="00AB4E1D"/>
    <w:rsid w:val="00AB4F5C"/>
    <w:rsid w:val="00AB4FC4"/>
    <w:rsid w:val="00AB5022"/>
    <w:rsid w:val="00AB502D"/>
    <w:rsid w:val="00AB52DC"/>
    <w:rsid w:val="00AB5425"/>
    <w:rsid w:val="00AB5739"/>
    <w:rsid w:val="00AB582B"/>
    <w:rsid w:val="00AB5B9C"/>
    <w:rsid w:val="00AB5D4D"/>
    <w:rsid w:val="00AB5DD1"/>
    <w:rsid w:val="00AB5E7E"/>
    <w:rsid w:val="00AB5E87"/>
    <w:rsid w:val="00AB61B7"/>
    <w:rsid w:val="00AB61CE"/>
    <w:rsid w:val="00AB620B"/>
    <w:rsid w:val="00AB6615"/>
    <w:rsid w:val="00AB6698"/>
    <w:rsid w:val="00AB67EC"/>
    <w:rsid w:val="00AB6848"/>
    <w:rsid w:val="00AB6937"/>
    <w:rsid w:val="00AB6C86"/>
    <w:rsid w:val="00AB6C90"/>
    <w:rsid w:val="00AB6EBF"/>
    <w:rsid w:val="00AB7438"/>
    <w:rsid w:val="00AB7458"/>
    <w:rsid w:val="00AB7497"/>
    <w:rsid w:val="00AB759E"/>
    <w:rsid w:val="00AB75CE"/>
    <w:rsid w:val="00AB773A"/>
    <w:rsid w:val="00AB7842"/>
    <w:rsid w:val="00AB79B2"/>
    <w:rsid w:val="00AB79DB"/>
    <w:rsid w:val="00AB7C4E"/>
    <w:rsid w:val="00AB7C97"/>
    <w:rsid w:val="00AB7CD2"/>
    <w:rsid w:val="00AB7E40"/>
    <w:rsid w:val="00AB7F0B"/>
    <w:rsid w:val="00AC01CF"/>
    <w:rsid w:val="00AC042E"/>
    <w:rsid w:val="00AC04DC"/>
    <w:rsid w:val="00AC0572"/>
    <w:rsid w:val="00AC0713"/>
    <w:rsid w:val="00AC077F"/>
    <w:rsid w:val="00AC07EC"/>
    <w:rsid w:val="00AC0CED"/>
    <w:rsid w:val="00AC0CFB"/>
    <w:rsid w:val="00AC0E10"/>
    <w:rsid w:val="00AC0E49"/>
    <w:rsid w:val="00AC0F1E"/>
    <w:rsid w:val="00AC12DF"/>
    <w:rsid w:val="00AC139A"/>
    <w:rsid w:val="00AC1417"/>
    <w:rsid w:val="00AC14D9"/>
    <w:rsid w:val="00AC15F4"/>
    <w:rsid w:val="00AC180D"/>
    <w:rsid w:val="00AC19A8"/>
    <w:rsid w:val="00AC19EA"/>
    <w:rsid w:val="00AC1F06"/>
    <w:rsid w:val="00AC1FE3"/>
    <w:rsid w:val="00AC21C6"/>
    <w:rsid w:val="00AC2353"/>
    <w:rsid w:val="00AC281F"/>
    <w:rsid w:val="00AC2A9F"/>
    <w:rsid w:val="00AC2FFB"/>
    <w:rsid w:val="00AC30E4"/>
    <w:rsid w:val="00AC315F"/>
    <w:rsid w:val="00AC320A"/>
    <w:rsid w:val="00AC356D"/>
    <w:rsid w:val="00AC358F"/>
    <w:rsid w:val="00AC3A51"/>
    <w:rsid w:val="00AC3DD3"/>
    <w:rsid w:val="00AC408C"/>
    <w:rsid w:val="00AC4157"/>
    <w:rsid w:val="00AC41C9"/>
    <w:rsid w:val="00AC427C"/>
    <w:rsid w:val="00AC428C"/>
    <w:rsid w:val="00AC4461"/>
    <w:rsid w:val="00AC4769"/>
    <w:rsid w:val="00AC4A56"/>
    <w:rsid w:val="00AC4B52"/>
    <w:rsid w:val="00AC4D4E"/>
    <w:rsid w:val="00AC5088"/>
    <w:rsid w:val="00AC5233"/>
    <w:rsid w:val="00AC5624"/>
    <w:rsid w:val="00AC567C"/>
    <w:rsid w:val="00AC5695"/>
    <w:rsid w:val="00AC573F"/>
    <w:rsid w:val="00AC5793"/>
    <w:rsid w:val="00AC5A3E"/>
    <w:rsid w:val="00AC5BB4"/>
    <w:rsid w:val="00AC5D6A"/>
    <w:rsid w:val="00AC5EB7"/>
    <w:rsid w:val="00AC645E"/>
    <w:rsid w:val="00AC651A"/>
    <w:rsid w:val="00AC65AE"/>
    <w:rsid w:val="00AC6F86"/>
    <w:rsid w:val="00AC7034"/>
    <w:rsid w:val="00AC7516"/>
    <w:rsid w:val="00AC7722"/>
    <w:rsid w:val="00AC7A41"/>
    <w:rsid w:val="00AC7A55"/>
    <w:rsid w:val="00AC7AFC"/>
    <w:rsid w:val="00AC7C73"/>
    <w:rsid w:val="00AC7CB6"/>
    <w:rsid w:val="00AC7D44"/>
    <w:rsid w:val="00AC7EE1"/>
    <w:rsid w:val="00AC7F88"/>
    <w:rsid w:val="00AD009A"/>
    <w:rsid w:val="00AD00FB"/>
    <w:rsid w:val="00AD0634"/>
    <w:rsid w:val="00AD06A8"/>
    <w:rsid w:val="00AD0C3A"/>
    <w:rsid w:val="00AD0CAE"/>
    <w:rsid w:val="00AD11BD"/>
    <w:rsid w:val="00AD1268"/>
    <w:rsid w:val="00AD12B6"/>
    <w:rsid w:val="00AD1323"/>
    <w:rsid w:val="00AD1363"/>
    <w:rsid w:val="00AD13E2"/>
    <w:rsid w:val="00AD15EF"/>
    <w:rsid w:val="00AD1935"/>
    <w:rsid w:val="00AD199F"/>
    <w:rsid w:val="00AD1CF0"/>
    <w:rsid w:val="00AD21F8"/>
    <w:rsid w:val="00AD229C"/>
    <w:rsid w:val="00AD2400"/>
    <w:rsid w:val="00AD29B1"/>
    <w:rsid w:val="00AD2CBD"/>
    <w:rsid w:val="00AD2DA6"/>
    <w:rsid w:val="00AD2F09"/>
    <w:rsid w:val="00AD3022"/>
    <w:rsid w:val="00AD3034"/>
    <w:rsid w:val="00AD30F8"/>
    <w:rsid w:val="00AD37CF"/>
    <w:rsid w:val="00AD393D"/>
    <w:rsid w:val="00AD3A7B"/>
    <w:rsid w:val="00AD3C39"/>
    <w:rsid w:val="00AD3CDA"/>
    <w:rsid w:val="00AD411D"/>
    <w:rsid w:val="00AD4235"/>
    <w:rsid w:val="00AD4403"/>
    <w:rsid w:val="00AD445A"/>
    <w:rsid w:val="00AD467A"/>
    <w:rsid w:val="00AD4895"/>
    <w:rsid w:val="00AD4B6D"/>
    <w:rsid w:val="00AD4BF1"/>
    <w:rsid w:val="00AD4C0B"/>
    <w:rsid w:val="00AD4E0B"/>
    <w:rsid w:val="00AD4E11"/>
    <w:rsid w:val="00AD519F"/>
    <w:rsid w:val="00AD5425"/>
    <w:rsid w:val="00AD54FD"/>
    <w:rsid w:val="00AD562B"/>
    <w:rsid w:val="00AD5869"/>
    <w:rsid w:val="00AD591F"/>
    <w:rsid w:val="00AD5B52"/>
    <w:rsid w:val="00AD5C89"/>
    <w:rsid w:val="00AD5E23"/>
    <w:rsid w:val="00AD5F71"/>
    <w:rsid w:val="00AD6162"/>
    <w:rsid w:val="00AD6703"/>
    <w:rsid w:val="00AD682A"/>
    <w:rsid w:val="00AD69BA"/>
    <w:rsid w:val="00AD69DF"/>
    <w:rsid w:val="00AD6A1A"/>
    <w:rsid w:val="00AD6A57"/>
    <w:rsid w:val="00AD6D82"/>
    <w:rsid w:val="00AD6EE8"/>
    <w:rsid w:val="00AD7147"/>
    <w:rsid w:val="00AD7396"/>
    <w:rsid w:val="00AD752F"/>
    <w:rsid w:val="00AD79C3"/>
    <w:rsid w:val="00AD79D3"/>
    <w:rsid w:val="00AD7A95"/>
    <w:rsid w:val="00AD7AE3"/>
    <w:rsid w:val="00AD7E2B"/>
    <w:rsid w:val="00AE0195"/>
    <w:rsid w:val="00AE01E9"/>
    <w:rsid w:val="00AE01F6"/>
    <w:rsid w:val="00AE024E"/>
    <w:rsid w:val="00AE0520"/>
    <w:rsid w:val="00AE0534"/>
    <w:rsid w:val="00AE0650"/>
    <w:rsid w:val="00AE06EE"/>
    <w:rsid w:val="00AE0710"/>
    <w:rsid w:val="00AE08D7"/>
    <w:rsid w:val="00AE0984"/>
    <w:rsid w:val="00AE0A3D"/>
    <w:rsid w:val="00AE0B1F"/>
    <w:rsid w:val="00AE0DA6"/>
    <w:rsid w:val="00AE10C4"/>
    <w:rsid w:val="00AE13AF"/>
    <w:rsid w:val="00AE14FF"/>
    <w:rsid w:val="00AE1531"/>
    <w:rsid w:val="00AE1676"/>
    <w:rsid w:val="00AE1799"/>
    <w:rsid w:val="00AE17FB"/>
    <w:rsid w:val="00AE1CDB"/>
    <w:rsid w:val="00AE1D07"/>
    <w:rsid w:val="00AE2069"/>
    <w:rsid w:val="00AE215F"/>
    <w:rsid w:val="00AE2246"/>
    <w:rsid w:val="00AE228E"/>
    <w:rsid w:val="00AE239F"/>
    <w:rsid w:val="00AE23C7"/>
    <w:rsid w:val="00AE2442"/>
    <w:rsid w:val="00AE2451"/>
    <w:rsid w:val="00AE245E"/>
    <w:rsid w:val="00AE2481"/>
    <w:rsid w:val="00AE25D2"/>
    <w:rsid w:val="00AE25FC"/>
    <w:rsid w:val="00AE2824"/>
    <w:rsid w:val="00AE28AC"/>
    <w:rsid w:val="00AE28E1"/>
    <w:rsid w:val="00AE29D6"/>
    <w:rsid w:val="00AE2AF8"/>
    <w:rsid w:val="00AE2C2B"/>
    <w:rsid w:val="00AE301C"/>
    <w:rsid w:val="00AE32C7"/>
    <w:rsid w:val="00AE32E0"/>
    <w:rsid w:val="00AE32EC"/>
    <w:rsid w:val="00AE3304"/>
    <w:rsid w:val="00AE345E"/>
    <w:rsid w:val="00AE36B9"/>
    <w:rsid w:val="00AE3762"/>
    <w:rsid w:val="00AE3A74"/>
    <w:rsid w:val="00AE3ACB"/>
    <w:rsid w:val="00AE3C5A"/>
    <w:rsid w:val="00AE406D"/>
    <w:rsid w:val="00AE40C2"/>
    <w:rsid w:val="00AE41AE"/>
    <w:rsid w:val="00AE4239"/>
    <w:rsid w:val="00AE4286"/>
    <w:rsid w:val="00AE4728"/>
    <w:rsid w:val="00AE4732"/>
    <w:rsid w:val="00AE47B7"/>
    <w:rsid w:val="00AE489A"/>
    <w:rsid w:val="00AE4B97"/>
    <w:rsid w:val="00AE4D6E"/>
    <w:rsid w:val="00AE4D9F"/>
    <w:rsid w:val="00AE4EC1"/>
    <w:rsid w:val="00AE5005"/>
    <w:rsid w:val="00AE524E"/>
    <w:rsid w:val="00AE53B1"/>
    <w:rsid w:val="00AE57E6"/>
    <w:rsid w:val="00AE5A71"/>
    <w:rsid w:val="00AE5E43"/>
    <w:rsid w:val="00AE5E8A"/>
    <w:rsid w:val="00AE604F"/>
    <w:rsid w:val="00AE6140"/>
    <w:rsid w:val="00AE61D6"/>
    <w:rsid w:val="00AE67BB"/>
    <w:rsid w:val="00AE6AD0"/>
    <w:rsid w:val="00AE6D56"/>
    <w:rsid w:val="00AE6FCC"/>
    <w:rsid w:val="00AE73E4"/>
    <w:rsid w:val="00AE7543"/>
    <w:rsid w:val="00AE77BF"/>
    <w:rsid w:val="00AE78AF"/>
    <w:rsid w:val="00AE7BA6"/>
    <w:rsid w:val="00AE7C7D"/>
    <w:rsid w:val="00AE7EA2"/>
    <w:rsid w:val="00AF02BD"/>
    <w:rsid w:val="00AF065C"/>
    <w:rsid w:val="00AF0BB4"/>
    <w:rsid w:val="00AF0CFF"/>
    <w:rsid w:val="00AF106F"/>
    <w:rsid w:val="00AF10C6"/>
    <w:rsid w:val="00AF12F5"/>
    <w:rsid w:val="00AF1357"/>
    <w:rsid w:val="00AF1759"/>
    <w:rsid w:val="00AF178A"/>
    <w:rsid w:val="00AF198D"/>
    <w:rsid w:val="00AF1A82"/>
    <w:rsid w:val="00AF1AFC"/>
    <w:rsid w:val="00AF1C36"/>
    <w:rsid w:val="00AF1D2B"/>
    <w:rsid w:val="00AF231B"/>
    <w:rsid w:val="00AF23F4"/>
    <w:rsid w:val="00AF2532"/>
    <w:rsid w:val="00AF2698"/>
    <w:rsid w:val="00AF28CF"/>
    <w:rsid w:val="00AF28F3"/>
    <w:rsid w:val="00AF29D9"/>
    <w:rsid w:val="00AF2B7E"/>
    <w:rsid w:val="00AF2C73"/>
    <w:rsid w:val="00AF2CB7"/>
    <w:rsid w:val="00AF2FDE"/>
    <w:rsid w:val="00AF3023"/>
    <w:rsid w:val="00AF329D"/>
    <w:rsid w:val="00AF360F"/>
    <w:rsid w:val="00AF36DD"/>
    <w:rsid w:val="00AF3A0B"/>
    <w:rsid w:val="00AF3A1A"/>
    <w:rsid w:val="00AF3F84"/>
    <w:rsid w:val="00AF40AC"/>
    <w:rsid w:val="00AF44F2"/>
    <w:rsid w:val="00AF4A71"/>
    <w:rsid w:val="00AF4CCB"/>
    <w:rsid w:val="00AF4D32"/>
    <w:rsid w:val="00AF5122"/>
    <w:rsid w:val="00AF52E4"/>
    <w:rsid w:val="00AF594F"/>
    <w:rsid w:val="00AF5A93"/>
    <w:rsid w:val="00AF5C73"/>
    <w:rsid w:val="00AF5CC0"/>
    <w:rsid w:val="00AF5CC9"/>
    <w:rsid w:val="00AF6218"/>
    <w:rsid w:val="00AF63DC"/>
    <w:rsid w:val="00AF6429"/>
    <w:rsid w:val="00AF664E"/>
    <w:rsid w:val="00AF669D"/>
    <w:rsid w:val="00AF67D8"/>
    <w:rsid w:val="00AF69A7"/>
    <w:rsid w:val="00AF69E6"/>
    <w:rsid w:val="00AF6C34"/>
    <w:rsid w:val="00AF6CC5"/>
    <w:rsid w:val="00AF704B"/>
    <w:rsid w:val="00AF70BD"/>
    <w:rsid w:val="00AF710B"/>
    <w:rsid w:val="00AF7221"/>
    <w:rsid w:val="00AF72F5"/>
    <w:rsid w:val="00AF77CD"/>
    <w:rsid w:val="00AF7A44"/>
    <w:rsid w:val="00AF7F0B"/>
    <w:rsid w:val="00AF7F3A"/>
    <w:rsid w:val="00B0014D"/>
    <w:rsid w:val="00B00182"/>
    <w:rsid w:val="00B001FD"/>
    <w:rsid w:val="00B009DB"/>
    <w:rsid w:val="00B00B39"/>
    <w:rsid w:val="00B00C31"/>
    <w:rsid w:val="00B00D90"/>
    <w:rsid w:val="00B00EA8"/>
    <w:rsid w:val="00B00F8C"/>
    <w:rsid w:val="00B01198"/>
    <w:rsid w:val="00B0139F"/>
    <w:rsid w:val="00B01565"/>
    <w:rsid w:val="00B01861"/>
    <w:rsid w:val="00B01C2E"/>
    <w:rsid w:val="00B01CFD"/>
    <w:rsid w:val="00B01EE2"/>
    <w:rsid w:val="00B01EE4"/>
    <w:rsid w:val="00B01F0C"/>
    <w:rsid w:val="00B01F99"/>
    <w:rsid w:val="00B0204D"/>
    <w:rsid w:val="00B021B2"/>
    <w:rsid w:val="00B026E6"/>
    <w:rsid w:val="00B02A2E"/>
    <w:rsid w:val="00B02DA0"/>
    <w:rsid w:val="00B02F62"/>
    <w:rsid w:val="00B02FB8"/>
    <w:rsid w:val="00B0321D"/>
    <w:rsid w:val="00B0322E"/>
    <w:rsid w:val="00B03429"/>
    <w:rsid w:val="00B0345E"/>
    <w:rsid w:val="00B035FA"/>
    <w:rsid w:val="00B036AB"/>
    <w:rsid w:val="00B03B1F"/>
    <w:rsid w:val="00B03D02"/>
    <w:rsid w:val="00B041CE"/>
    <w:rsid w:val="00B042A4"/>
    <w:rsid w:val="00B043B7"/>
    <w:rsid w:val="00B04423"/>
    <w:rsid w:val="00B04425"/>
    <w:rsid w:val="00B045FD"/>
    <w:rsid w:val="00B04610"/>
    <w:rsid w:val="00B04695"/>
    <w:rsid w:val="00B04846"/>
    <w:rsid w:val="00B048A2"/>
    <w:rsid w:val="00B04CAD"/>
    <w:rsid w:val="00B04DB4"/>
    <w:rsid w:val="00B04FF5"/>
    <w:rsid w:val="00B05092"/>
    <w:rsid w:val="00B050C5"/>
    <w:rsid w:val="00B05157"/>
    <w:rsid w:val="00B0557B"/>
    <w:rsid w:val="00B055BF"/>
    <w:rsid w:val="00B05604"/>
    <w:rsid w:val="00B0568D"/>
    <w:rsid w:val="00B05BA5"/>
    <w:rsid w:val="00B05BFF"/>
    <w:rsid w:val="00B0602D"/>
    <w:rsid w:val="00B06090"/>
    <w:rsid w:val="00B061B8"/>
    <w:rsid w:val="00B06225"/>
    <w:rsid w:val="00B06385"/>
    <w:rsid w:val="00B06503"/>
    <w:rsid w:val="00B0698D"/>
    <w:rsid w:val="00B06A09"/>
    <w:rsid w:val="00B06A6F"/>
    <w:rsid w:val="00B06C9F"/>
    <w:rsid w:val="00B06DC5"/>
    <w:rsid w:val="00B0708C"/>
    <w:rsid w:val="00B07281"/>
    <w:rsid w:val="00B07314"/>
    <w:rsid w:val="00B073F1"/>
    <w:rsid w:val="00B07516"/>
    <w:rsid w:val="00B077F1"/>
    <w:rsid w:val="00B0791E"/>
    <w:rsid w:val="00B07C62"/>
    <w:rsid w:val="00B07CE6"/>
    <w:rsid w:val="00B10035"/>
    <w:rsid w:val="00B10279"/>
    <w:rsid w:val="00B102E1"/>
    <w:rsid w:val="00B102FF"/>
    <w:rsid w:val="00B1055F"/>
    <w:rsid w:val="00B105CE"/>
    <w:rsid w:val="00B1075C"/>
    <w:rsid w:val="00B1080B"/>
    <w:rsid w:val="00B108F6"/>
    <w:rsid w:val="00B10A23"/>
    <w:rsid w:val="00B10A8F"/>
    <w:rsid w:val="00B11118"/>
    <w:rsid w:val="00B114A9"/>
    <w:rsid w:val="00B114ED"/>
    <w:rsid w:val="00B11506"/>
    <w:rsid w:val="00B11724"/>
    <w:rsid w:val="00B1172D"/>
    <w:rsid w:val="00B11757"/>
    <w:rsid w:val="00B117E1"/>
    <w:rsid w:val="00B11919"/>
    <w:rsid w:val="00B11A86"/>
    <w:rsid w:val="00B11B19"/>
    <w:rsid w:val="00B11E3A"/>
    <w:rsid w:val="00B12016"/>
    <w:rsid w:val="00B12198"/>
    <w:rsid w:val="00B122C5"/>
    <w:rsid w:val="00B12612"/>
    <w:rsid w:val="00B126CB"/>
    <w:rsid w:val="00B12C03"/>
    <w:rsid w:val="00B13048"/>
    <w:rsid w:val="00B1327C"/>
    <w:rsid w:val="00B13295"/>
    <w:rsid w:val="00B13368"/>
    <w:rsid w:val="00B133EC"/>
    <w:rsid w:val="00B13543"/>
    <w:rsid w:val="00B13597"/>
    <w:rsid w:val="00B13707"/>
    <w:rsid w:val="00B1380D"/>
    <w:rsid w:val="00B139CA"/>
    <w:rsid w:val="00B13A82"/>
    <w:rsid w:val="00B13A9D"/>
    <w:rsid w:val="00B13B46"/>
    <w:rsid w:val="00B13CFF"/>
    <w:rsid w:val="00B13E47"/>
    <w:rsid w:val="00B13EB2"/>
    <w:rsid w:val="00B13F0A"/>
    <w:rsid w:val="00B1408C"/>
    <w:rsid w:val="00B141FF"/>
    <w:rsid w:val="00B14412"/>
    <w:rsid w:val="00B1441E"/>
    <w:rsid w:val="00B14580"/>
    <w:rsid w:val="00B1463A"/>
    <w:rsid w:val="00B14711"/>
    <w:rsid w:val="00B147A0"/>
    <w:rsid w:val="00B1485C"/>
    <w:rsid w:val="00B14885"/>
    <w:rsid w:val="00B14AFE"/>
    <w:rsid w:val="00B14CD4"/>
    <w:rsid w:val="00B14DBB"/>
    <w:rsid w:val="00B14DEF"/>
    <w:rsid w:val="00B14F73"/>
    <w:rsid w:val="00B14FDF"/>
    <w:rsid w:val="00B150AB"/>
    <w:rsid w:val="00B1523C"/>
    <w:rsid w:val="00B152FB"/>
    <w:rsid w:val="00B153AB"/>
    <w:rsid w:val="00B15540"/>
    <w:rsid w:val="00B1577C"/>
    <w:rsid w:val="00B1579B"/>
    <w:rsid w:val="00B15AC6"/>
    <w:rsid w:val="00B15C21"/>
    <w:rsid w:val="00B15D70"/>
    <w:rsid w:val="00B15DD2"/>
    <w:rsid w:val="00B15E0C"/>
    <w:rsid w:val="00B15F00"/>
    <w:rsid w:val="00B160EF"/>
    <w:rsid w:val="00B16280"/>
    <w:rsid w:val="00B16307"/>
    <w:rsid w:val="00B1636A"/>
    <w:rsid w:val="00B1673E"/>
    <w:rsid w:val="00B1678E"/>
    <w:rsid w:val="00B16AAA"/>
    <w:rsid w:val="00B16CD3"/>
    <w:rsid w:val="00B16CE9"/>
    <w:rsid w:val="00B1701B"/>
    <w:rsid w:val="00B17262"/>
    <w:rsid w:val="00B17269"/>
    <w:rsid w:val="00B1764B"/>
    <w:rsid w:val="00B17705"/>
    <w:rsid w:val="00B17751"/>
    <w:rsid w:val="00B17879"/>
    <w:rsid w:val="00B17B85"/>
    <w:rsid w:val="00B17BE2"/>
    <w:rsid w:val="00B17E35"/>
    <w:rsid w:val="00B17E9D"/>
    <w:rsid w:val="00B20202"/>
    <w:rsid w:val="00B20334"/>
    <w:rsid w:val="00B203CD"/>
    <w:rsid w:val="00B20989"/>
    <w:rsid w:val="00B20C3A"/>
    <w:rsid w:val="00B20DD7"/>
    <w:rsid w:val="00B20E6F"/>
    <w:rsid w:val="00B20EC2"/>
    <w:rsid w:val="00B20F11"/>
    <w:rsid w:val="00B2148D"/>
    <w:rsid w:val="00B214B8"/>
    <w:rsid w:val="00B21697"/>
    <w:rsid w:val="00B21AFB"/>
    <w:rsid w:val="00B21B38"/>
    <w:rsid w:val="00B21DCA"/>
    <w:rsid w:val="00B21EB9"/>
    <w:rsid w:val="00B2223B"/>
    <w:rsid w:val="00B22310"/>
    <w:rsid w:val="00B2238C"/>
    <w:rsid w:val="00B22524"/>
    <w:rsid w:val="00B225A9"/>
    <w:rsid w:val="00B22F1C"/>
    <w:rsid w:val="00B23791"/>
    <w:rsid w:val="00B23AD1"/>
    <w:rsid w:val="00B23B91"/>
    <w:rsid w:val="00B23BAA"/>
    <w:rsid w:val="00B23E49"/>
    <w:rsid w:val="00B23EDF"/>
    <w:rsid w:val="00B243B4"/>
    <w:rsid w:val="00B2445F"/>
    <w:rsid w:val="00B246EF"/>
    <w:rsid w:val="00B248D7"/>
    <w:rsid w:val="00B248E6"/>
    <w:rsid w:val="00B24ABC"/>
    <w:rsid w:val="00B24F90"/>
    <w:rsid w:val="00B25097"/>
    <w:rsid w:val="00B25113"/>
    <w:rsid w:val="00B25163"/>
    <w:rsid w:val="00B25274"/>
    <w:rsid w:val="00B25284"/>
    <w:rsid w:val="00B25327"/>
    <w:rsid w:val="00B2551A"/>
    <w:rsid w:val="00B256E9"/>
    <w:rsid w:val="00B258A8"/>
    <w:rsid w:val="00B259F0"/>
    <w:rsid w:val="00B25AF4"/>
    <w:rsid w:val="00B25CDA"/>
    <w:rsid w:val="00B260DA"/>
    <w:rsid w:val="00B2620F"/>
    <w:rsid w:val="00B26322"/>
    <w:rsid w:val="00B26501"/>
    <w:rsid w:val="00B265A3"/>
    <w:rsid w:val="00B2671C"/>
    <w:rsid w:val="00B2684E"/>
    <w:rsid w:val="00B2688A"/>
    <w:rsid w:val="00B26963"/>
    <w:rsid w:val="00B269F3"/>
    <w:rsid w:val="00B26B60"/>
    <w:rsid w:val="00B26BF6"/>
    <w:rsid w:val="00B26EE6"/>
    <w:rsid w:val="00B26F10"/>
    <w:rsid w:val="00B2707F"/>
    <w:rsid w:val="00B27169"/>
    <w:rsid w:val="00B272E6"/>
    <w:rsid w:val="00B2761C"/>
    <w:rsid w:val="00B277C3"/>
    <w:rsid w:val="00B27963"/>
    <w:rsid w:val="00B27B15"/>
    <w:rsid w:val="00B27C5A"/>
    <w:rsid w:val="00B27C67"/>
    <w:rsid w:val="00B27C96"/>
    <w:rsid w:val="00B27DDC"/>
    <w:rsid w:val="00B30321"/>
    <w:rsid w:val="00B303CC"/>
    <w:rsid w:val="00B303E7"/>
    <w:rsid w:val="00B307F9"/>
    <w:rsid w:val="00B309CD"/>
    <w:rsid w:val="00B30B39"/>
    <w:rsid w:val="00B30DB2"/>
    <w:rsid w:val="00B30E2A"/>
    <w:rsid w:val="00B30F1E"/>
    <w:rsid w:val="00B30F24"/>
    <w:rsid w:val="00B30F63"/>
    <w:rsid w:val="00B31025"/>
    <w:rsid w:val="00B311A7"/>
    <w:rsid w:val="00B31643"/>
    <w:rsid w:val="00B3166F"/>
    <w:rsid w:val="00B31735"/>
    <w:rsid w:val="00B31786"/>
    <w:rsid w:val="00B31980"/>
    <w:rsid w:val="00B31A29"/>
    <w:rsid w:val="00B31B1F"/>
    <w:rsid w:val="00B31D04"/>
    <w:rsid w:val="00B31D75"/>
    <w:rsid w:val="00B31D8A"/>
    <w:rsid w:val="00B31E87"/>
    <w:rsid w:val="00B31EB1"/>
    <w:rsid w:val="00B32045"/>
    <w:rsid w:val="00B32086"/>
    <w:rsid w:val="00B320A0"/>
    <w:rsid w:val="00B32104"/>
    <w:rsid w:val="00B321E7"/>
    <w:rsid w:val="00B32527"/>
    <w:rsid w:val="00B3257A"/>
    <w:rsid w:val="00B325F3"/>
    <w:rsid w:val="00B32768"/>
    <w:rsid w:val="00B327C1"/>
    <w:rsid w:val="00B3281B"/>
    <w:rsid w:val="00B32874"/>
    <w:rsid w:val="00B3287C"/>
    <w:rsid w:val="00B32950"/>
    <w:rsid w:val="00B32A2C"/>
    <w:rsid w:val="00B32B85"/>
    <w:rsid w:val="00B32BF3"/>
    <w:rsid w:val="00B32DFF"/>
    <w:rsid w:val="00B33296"/>
    <w:rsid w:val="00B337BD"/>
    <w:rsid w:val="00B337CE"/>
    <w:rsid w:val="00B33914"/>
    <w:rsid w:val="00B33A38"/>
    <w:rsid w:val="00B33AD7"/>
    <w:rsid w:val="00B33BE0"/>
    <w:rsid w:val="00B33F6C"/>
    <w:rsid w:val="00B3408B"/>
    <w:rsid w:val="00B340E7"/>
    <w:rsid w:val="00B34248"/>
    <w:rsid w:val="00B34323"/>
    <w:rsid w:val="00B34525"/>
    <w:rsid w:val="00B348F8"/>
    <w:rsid w:val="00B34949"/>
    <w:rsid w:val="00B34ABB"/>
    <w:rsid w:val="00B34AF6"/>
    <w:rsid w:val="00B34D56"/>
    <w:rsid w:val="00B34DA0"/>
    <w:rsid w:val="00B35271"/>
    <w:rsid w:val="00B356B8"/>
    <w:rsid w:val="00B357FD"/>
    <w:rsid w:val="00B35941"/>
    <w:rsid w:val="00B359BF"/>
    <w:rsid w:val="00B35BEA"/>
    <w:rsid w:val="00B35DA1"/>
    <w:rsid w:val="00B35F9A"/>
    <w:rsid w:val="00B36046"/>
    <w:rsid w:val="00B36112"/>
    <w:rsid w:val="00B36160"/>
    <w:rsid w:val="00B36293"/>
    <w:rsid w:val="00B3656F"/>
    <w:rsid w:val="00B365CD"/>
    <w:rsid w:val="00B36694"/>
    <w:rsid w:val="00B366BE"/>
    <w:rsid w:val="00B36835"/>
    <w:rsid w:val="00B36B9B"/>
    <w:rsid w:val="00B372BF"/>
    <w:rsid w:val="00B373B9"/>
    <w:rsid w:val="00B37445"/>
    <w:rsid w:val="00B3753C"/>
    <w:rsid w:val="00B37581"/>
    <w:rsid w:val="00B376F9"/>
    <w:rsid w:val="00B37732"/>
    <w:rsid w:val="00B37D1A"/>
    <w:rsid w:val="00B37DF7"/>
    <w:rsid w:val="00B37F9A"/>
    <w:rsid w:val="00B40084"/>
    <w:rsid w:val="00B400A5"/>
    <w:rsid w:val="00B4039D"/>
    <w:rsid w:val="00B40506"/>
    <w:rsid w:val="00B40607"/>
    <w:rsid w:val="00B40850"/>
    <w:rsid w:val="00B40AF6"/>
    <w:rsid w:val="00B411C5"/>
    <w:rsid w:val="00B4125F"/>
    <w:rsid w:val="00B4151F"/>
    <w:rsid w:val="00B41526"/>
    <w:rsid w:val="00B4182B"/>
    <w:rsid w:val="00B41A50"/>
    <w:rsid w:val="00B41E97"/>
    <w:rsid w:val="00B41EA0"/>
    <w:rsid w:val="00B41EAB"/>
    <w:rsid w:val="00B41F57"/>
    <w:rsid w:val="00B423F4"/>
    <w:rsid w:val="00B424BF"/>
    <w:rsid w:val="00B42634"/>
    <w:rsid w:val="00B42804"/>
    <w:rsid w:val="00B428E5"/>
    <w:rsid w:val="00B42983"/>
    <w:rsid w:val="00B42CC3"/>
    <w:rsid w:val="00B42DE2"/>
    <w:rsid w:val="00B42EFD"/>
    <w:rsid w:val="00B42FD3"/>
    <w:rsid w:val="00B4331C"/>
    <w:rsid w:val="00B43805"/>
    <w:rsid w:val="00B43908"/>
    <w:rsid w:val="00B43967"/>
    <w:rsid w:val="00B44233"/>
    <w:rsid w:val="00B4434A"/>
    <w:rsid w:val="00B4435C"/>
    <w:rsid w:val="00B447BC"/>
    <w:rsid w:val="00B44A4E"/>
    <w:rsid w:val="00B44EF6"/>
    <w:rsid w:val="00B450EE"/>
    <w:rsid w:val="00B45116"/>
    <w:rsid w:val="00B451B7"/>
    <w:rsid w:val="00B451ED"/>
    <w:rsid w:val="00B4539A"/>
    <w:rsid w:val="00B453B8"/>
    <w:rsid w:val="00B458E1"/>
    <w:rsid w:val="00B45951"/>
    <w:rsid w:val="00B45A07"/>
    <w:rsid w:val="00B45CEE"/>
    <w:rsid w:val="00B46151"/>
    <w:rsid w:val="00B46302"/>
    <w:rsid w:val="00B463C8"/>
    <w:rsid w:val="00B46626"/>
    <w:rsid w:val="00B467CD"/>
    <w:rsid w:val="00B468D9"/>
    <w:rsid w:val="00B46A84"/>
    <w:rsid w:val="00B46B40"/>
    <w:rsid w:val="00B46B46"/>
    <w:rsid w:val="00B46DF3"/>
    <w:rsid w:val="00B47015"/>
    <w:rsid w:val="00B472E2"/>
    <w:rsid w:val="00B47461"/>
    <w:rsid w:val="00B475D8"/>
    <w:rsid w:val="00B477A3"/>
    <w:rsid w:val="00B478E6"/>
    <w:rsid w:val="00B478F7"/>
    <w:rsid w:val="00B47902"/>
    <w:rsid w:val="00B47929"/>
    <w:rsid w:val="00B47A17"/>
    <w:rsid w:val="00B47C64"/>
    <w:rsid w:val="00B47C94"/>
    <w:rsid w:val="00B47C9F"/>
    <w:rsid w:val="00B47D71"/>
    <w:rsid w:val="00B47F58"/>
    <w:rsid w:val="00B47FF7"/>
    <w:rsid w:val="00B50043"/>
    <w:rsid w:val="00B50052"/>
    <w:rsid w:val="00B500A8"/>
    <w:rsid w:val="00B50311"/>
    <w:rsid w:val="00B50406"/>
    <w:rsid w:val="00B5055C"/>
    <w:rsid w:val="00B5072C"/>
    <w:rsid w:val="00B508AB"/>
    <w:rsid w:val="00B50A93"/>
    <w:rsid w:val="00B50E97"/>
    <w:rsid w:val="00B51207"/>
    <w:rsid w:val="00B513B9"/>
    <w:rsid w:val="00B5154C"/>
    <w:rsid w:val="00B51677"/>
    <w:rsid w:val="00B5170E"/>
    <w:rsid w:val="00B5188E"/>
    <w:rsid w:val="00B518E9"/>
    <w:rsid w:val="00B51BB2"/>
    <w:rsid w:val="00B51CEA"/>
    <w:rsid w:val="00B51CF8"/>
    <w:rsid w:val="00B51CFC"/>
    <w:rsid w:val="00B51D67"/>
    <w:rsid w:val="00B52017"/>
    <w:rsid w:val="00B5211C"/>
    <w:rsid w:val="00B52241"/>
    <w:rsid w:val="00B5229F"/>
    <w:rsid w:val="00B523B1"/>
    <w:rsid w:val="00B52ED5"/>
    <w:rsid w:val="00B533D1"/>
    <w:rsid w:val="00B5381F"/>
    <w:rsid w:val="00B538EF"/>
    <w:rsid w:val="00B53A1F"/>
    <w:rsid w:val="00B53BF3"/>
    <w:rsid w:val="00B53C0B"/>
    <w:rsid w:val="00B53C96"/>
    <w:rsid w:val="00B53E11"/>
    <w:rsid w:val="00B540DB"/>
    <w:rsid w:val="00B5427F"/>
    <w:rsid w:val="00B5429F"/>
    <w:rsid w:val="00B542A1"/>
    <w:rsid w:val="00B54466"/>
    <w:rsid w:val="00B545A6"/>
    <w:rsid w:val="00B54687"/>
    <w:rsid w:val="00B547E7"/>
    <w:rsid w:val="00B54992"/>
    <w:rsid w:val="00B54C11"/>
    <w:rsid w:val="00B54EFA"/>
    <w:rsid w:val="00B55036"/>
    <w:rsid w:val="00B55281"/>
    <w:rsid w:val="00B5531B"/>
    <w:rsid w:val="00B553A2"/>
    <w:rsid w:val="00B55543"/>
    <w:rsid w:val="00B555DD"/>
    <w:rsid w:val="00B55659"/>
    <w:rsid w:val="00B556DB"/>
    <w:rsid w:val="00B556F7"/>
    <w:rsid w:val="00B557FE"/>
    <w:rsid w:val="00B55A52"/>
    <w:rsid w:val="00B55B0E"/>
    <w:rsid w:val="00B55B7E"/>
    <w:rsid w:val="00B55E18"/>
    <w:rsid w:val="00B55E2C"/>
    <w:rsid w:val="00B55E44"/>
    <w:rsid w:val="00B56317"/>
    <w:rsid w:val="00B56334"/>
    <w:rsid w:val="00B56847"/>
    <w:rsid w:val="00B56923"/>
    <w:rsid w:val="00B569F8"/>
    <w:rsid w:val="00B56D57"/>
    <w:rsid w:val="00B56F42"/>
    <w:rsid w:val="00B57087"/>
    <w:rsid w:val="00B571FA"/>
    <w:rsid w:val="00B5726B"/>
    <w:rsid w:val="00B57273"/>
    <w:rsid w:val="00B572A0"/>
    <w:rsid w:val="00B57340"/>
    <w:rsid w:val="00B57502"/>
    <w:rsid w:val="00B57648"/>
    <w:rsid w:val="00B577D7"/>
    <w:rsid w:val="00B579BA"/>
    <w:rsid w:val="00B57ACD"/>
    <w:rsid w:val="00B57B0B"/>
    <w:rsid w:val="00B57BD0"/>
    <w:rsid w:val="00B57EB9"/>
    <w:rsid w:val="00B60113"/>
    <w:rsid w:val="00B6026F"/>
    <w:rsid w:val="00B606F6"/>
    <w:rsid w:val="00B60988"/>
    <w:rsid w:val="00B60A73"/>
    <w:rsid w:val="00B60B14"/>
    <w:rsid w:val="00B60E24"/>
    <w:rsid w:val="00B60EB2"/>
    <w:rsid w:val="00B611AA"/>
    <w:rsid w:val="00B61230"/>
    <w:rsid w:val="00B613D2"/>
    <w:rsid w:val="00B614B7"/>
    <w:rsid w:val="00B615AC"/>
    <w:rsid w:val="00B61774"/>
    <w:rsid w:val="00B61782"/>
    <w:rsid w:val="00B61AC6"/>
    <w:rsid w:val="00B61BD4"/>
    <w:rsid w:val="00B61C76"/>
    <w:rsid w:val="00B61C7D"/>
    <w:rsid w:val="00B61D2A"/>
    <w:rsid w:val="00B61D42"/>
    <w:rsid w:val="00B61E2A"/>
    <w:rsid w:val="00B61E35"/>
    <w:rsid w:val="00B62140"/>
    <w:rsid w:val="00B62460"/>
    <w:rsid w:val="00B62629"/>
    <w:rsid w:val="00B626EF"/>
    <w:rsid w:val="00B62C5C"/>
    <w:rsid w:val="00B62D29"/>
    <w:rsid w:val="00B63201"/>
    <w:rsid w:val="00B632BF"/>
    <w:rsid w:val="00B635BF"/>
    <w:rsid w:val="00B63764"/>
    <w:rsid w:val="00B63808"/>
    <w:rsid w:val="00B638C4"/>
    <w:rsid w:val="00B6398E"/>
    <w:rsid w:val="00B63F0B"/>
    <w:rsid w:val="00B63F79"/>
    <w:rsid w:val="00B64776"/>
    <w:rsid w:val="00B6478B"/>
    <w:rsid w:val="00B64898"/>
    <w:rsid w:val="00B648D3"/>
    <w:rsid w:val="00B648E8"/>
    <w:rsid w:val="00B64B5F"/>
    <w:rsid w:val="00B64C2C"/>
    <w:rsid w:val="00B64D3B"/>
    <w:rsid w:val="00B64E01"/>
    <w:rsid w:val="00B64F08"/>
    <w:rsid w:val="00B64F7A"/>
    <w:rsid w:val="00B650A1"/>
    <w:rsid w:val="00B650DA"/>
    <w:rsid w:val="00B653D5"/>
    <w:rsid w:val="00B65469"/>
    <w:rsid w:val="00B6576E"/>
    <w:rsid w:val="00B65962"/>
    <w:rsid w:val="00B65CCB"/>
    <w:rsid w:val="00B65DEE"/>
    <w:rsid w:val="00B65E82"/>
    <w:rsid w:val="00B65EC8"/>
    <w:rsid w:val="00B66039"/>
    <w:rsid w:val="00B660A9"/>
    <w:rsid w:val="00B660B3"/>
    <w:rsid w:val="00B6615B"/>
    <w:rsid w:val="00B6618E"/>
    <w:rsid w:val="00B6619B"/>
    <w:rsid w:val="00B661C3"/>
    <w:rsid w:val="00B6626A"/>
    <w:rsid w:val="00B66431"/>
    <w:rsid w:val="00B66475"/>
    <w:rsid w:val="00B664F1"/>
    <w:rsid w:val="00B666C8"/>
    <w:rsid w:val="00B66706"/>
    <w:rsid w:val="00B66B2B"/>
    <w:rsid w:val="00B66C3A"/>
    <w:rsid w:val="00B66C46"/>
    <w:rsid w:val="00B66DFF"/>
    <w:rsid w:val="00B674CD"/>
    <w:rsid w:val="00B676AF"/>
    <w:rsid w:val="00B6771F"/>
    <w:rsid w:val="00B678C5"/>
    <w:rsid w:val="00B67A83"/>
    <w:rsid w:val="00B67B44"/>
    <w:rsid w:val="00B67D30"/>
    <w:rsid w:val="00B70010"/>
    <w:rsid w:val="00B7042F"/>
    <w:rsid w:val="00B7068B"/>
    <w:rsid w:val="00B70877"/>
    <w:rsid w:val="00B70B10"/>
    <w:rsid w:val="00B70B2E"/>
    <w:rsid w:val="00B70CCF"/>
    <w:rsid w:val="00B71337"/>
    <w:rsid w:val="00B714CB"/>
    <w:rsid w:val="00B714D5"/>
    <w:rsid w:val="00B714E3"/>
    <w:rsid w:val="00B71862"/>
    <w:rsid w:val="00B71923"/>
    <w:rsid w:val="00B71DA7"/>
    <w:rsid w:val="00B71FD9"/>
    <w:rsid w:val="00B72264"/>
    <w:rsid w:val="00B72317"/>
    <w:rsid w:val="00B7261A"/>
    <w:rsid w:val="00B726BD"/>
    <w:rsid w:val="00B728C1"/>
    <w:rsid w:val="00B7290F"/>
    <w:rsid w:val="00B7292C"/>
    <w:rsid w:val="00B729ED"/>
    <w:rsid w:val="00B729F5"/>
    <w:rsid w:val="00B72A37"/>
    <w:rsid w:val="00B72AE1"/>
    <w:rsid w:val="00B72CE9"/>
    <w:rsid w:val="00B72ECB"/>
    <w:rsid w:val="00B730FF"/>
    <w:rsid w:val="00B73230"/>
    <w:rsid w:val="00B734E3"/>
    <w:rsid w:val="00B7363E"/>
    <w:rsid w:val="00B736DA"/>
    <w:rsid w:val="00B7390C"/>
    <w:rsid w:val="00B73B8E"/>
    <w:rsid w:val="00B73D0A"/>
    <w:rsid w:val="00B73FAB"/>
    <w:rsid w:val="00B7430F"/>
    <w:rsid w:val="00B74332"/>
    <w:rsid w:val="00B74463"/>
    <w:rsid w:val="00B744CB"/>
    <w:rsid w:val="00B74638"/>
    <w:rsid w:val="00B74673"/>
    <w:rsid w:val="00B746BB"/>
    <w:rsid w:val="00B7499E"/>
    <w:rsid w:val="00B74A10"/>
    <w:rsid w:val="00B74B25"/>
    <w:rsid w:val="00B74BFB"/>
    <w:rsid w:val="00B74D9D"/>
    <w:rsid w:val="00B74DBD"/>
    <w:rsid w:val="00B74E2A"/>
    <w:rsid w:val="00B751B6"/>
    <w:rsid w:val="00B7539F"/>
    <w:rsid w:val="00B755C8"/>
    <w:rsid w:val="00B7561C"/>
    <w:rsid w:val="00B75764"/>
    <w:rsid w:val="00B758D2"/>
    <w:rsid w:val="00B75B70"/>
    <w:rsid w:val="00B75D7E"/>
    <w:rsid w:val="00B75E82"/>
    <w:rsid w:val="00B761B5"/>
    <w:rsid w:val="00B761F7"/>
    <w:rsid w:val="00B76582"/>
    <w:rsid w:val="00B7662A"/>
    <w:rsid w:val="00B768CF"/>
    <w:rsid w:val="00B76B3A"/>
    <w:rsid w:val="00B76F0F"/>
    <w:rsid w:val="00B771AC"/>
    <w:rsid w:val="00B77395"/>
    <w:rsid w:val="00B7768E"/>
    <w:rsid w:val="00B776EE"/>
    <w:rsid w:val="00B77749"/>
    <w:rsid w:val="00B77869"/>
    <w:rsid w:val="00B77A42"/>
    <w:rsid w:val="00B77EC5"/>
    <w:rsid w:val="00B77F1E"/>
    <w:rsid w:val="00B77F69"/>
    <w:rsid w:val="00B80046"/>
    <w:rsid w:val="00B8011C"/>
    <w:rsid w:val="00B802D6"/>
    <w:rsid w:val="00B80370"/>
    <w:rsid w:val="00B804E4"/>
    <w:rsid w:val="00B8082C"/>
    <w:rsid w:val="00B8093D"/>
    <w:rsid w:val="00B80D8D"/>
    <w:rsid w:val="00B80EA3"/>
    <w:rsid w:val="00B80EB1"/>
    <w:rsid w:val="00B80EF2"/>
    <w:rsid w:val="00B810F6"/>
    <w:rsid w:val="00B8115D"/>
    <w:rsid w:val="00B812AF"/>
    <w:rsid w:val="00B8132C"/>
    <w:rsid w:val="00B81428"/>
    <w:rsid w:val="00B81437"/>
    <w:rsid w:val="00B815D7"/>
    <w:rsid w:val="00B8174F"/>
    <w:rsid w:val="00B818A0"/>
    <w:rsid w:val="00B81AF9"/>
    <w:rsid w:val="00B81B34"/>
    <w:rsid w:val="00B81D14"/>
    <w:rsid w:val="00B81D4F"/>
    <w:rsid w:val="00B81F1E"/>
    <w:rsid w:val="00B82318"/>
    <w:rsid w:val="00B823E9"/>
    <w:rsid w:val="00B824F5"/>
    <w:rsid w:val="00B8271F"/>
    <w:rsid w:val="00B829C0"/>
    <w:rsid w:val="00B82B07"/>
    <w:rsid w:val="00B82B78"/>
    <w:rsid w:val="00B82C9C"/>
    <w:rsid w:val="00B82E66"/>
    <w:rsid w:val="00B82F17"/>
    <w:rsid w:val="00B83281"/>
    <w:rsid w:val="00B832CE"/>
    <w:rsid w:val="00B832D4"/>
    <w:rsid w:val="00B837A7"/>
    <w:rsid w:val="00B83817"/>
    <w:rsid w:val="00B83ADA"/>
    <w:rsid w:val="00B83AE8"/>
    <w:rsid w:val="00B83AEB"/>
    <w:rsid w:val="00B83D4A"/>
    <w:rsid w:val="00B83EC3"/>
    <w:rsid w:val="00B83EFB"/>
    <w:rsid w:val="00B83F55"/>
    <w:rsid w:val="00B84062"/>
    <w:rsid w:val="00B841AE"/>
    <w:rsid w:val="00B84314"/>
    <w:rsid w:val="00B843FE"/>
    <w:rsid w:val="00B848C0"/>
    <w:rsid w:val="00B84CAD"/>
    <w:rsid w:val="00B84FD0"/>
    <w:rsid w:val="00B85686"/>
    <w:rsid w:val="00B8577A"/>
    <w:rsid w:val="00B85864"/>
    <w:rsid w:val="00B858CE"/>
    <w:rsid w:val="00B85D24"/>
    <w:rsid w:val="00B85E6C"/>
    <w:rsid w:val="00B85E87"/>
    <w:rsid w:val="00B85FC8"/>
    <w:rsid w:val="00B86554"/>
    <w:rsid w:val="00B865EE"/>
    <w:rsid w:val="00B86744"/>
    <w:rsid w:val="00B869A2"/>
    <w:rsid w:val="00B86CD6"/>
    <w:rsid w:val="00B86E27"/>
    <w:rsid w:val="00B86E7C"/>
    <w:rsid w:val="00B87107"/>
    <w:rsid w:val="00B87129"/>
    <w:rsid w:val="00B8717D"/>
    <w:rsid w:val="00B872B8"/>
    <w:rsid w:val="00B872CF"/>
    <w:rsid w:val="00B874DE"/>
    <w:rsid w:val="00B87658"/>
    <w:rsid w:val="00B8765C"/>
    <w:rsid w:val="00B87712"/>
    <w:rsid w:val="00B87792"/>
    <w:rsid w:val="00B87967"/>
    <w:rsid w:val="00B87E3C"/>
    <w:rsid w:val="00B90009"/>
    <w:rsid w:val="00B90058"/>
    <w:rsid w:val="00B9005D"/>
    <w:rsid w:val="00B900C0"/>
    <w:rsid w:val="00B901C5"/>
    <w:rsid w:val="00B902BC"/>
    <w:rsid w:val="00B90519"/>
    <w:rsid w:val="00B905EB"/>
    <w:rsid w:val="00B90661"/>
    <w:rsid w:val="00B90889"/>
    <w:rsid w:val="00B90A0C"/>
    <w:rsid w:val="00B91197"/>
    <w:rsid w:val="00B91266"/>
    <w:rsid w:val="00B91369"/>
    <w:rsid w:val="00B91702"/>
    <w:rsid w:val="00B917E1"/>
    <w:rsid w:val="00B9180B"/>
    <w:rsid w:val="00B91946"/>
    <w:rsid w:val="00B9194F"/>
    <w:rsid w:val="00B91C7E"/>
    <w:rsid w:val="00B9203C"/>
    <w:rsid w:val="00B9209F"/>
    <w:rsid w:val="00B92186"/>
    <w:rsid w:val="00B9225B"/>
    <w:rsid w:val="00B923DB"/>
    <w:rsid w:val="00B92491"/>
    <w:rsid w:val="00B9269A"/>
    <w:rsid w:val="00B928B9"/>
    <w:rsid w:val="00B92B33"/>
    <w:rsid w:val="00B92D96"/>
    <w:rsid w:val="00B92F7B"/>
    <w:rsid w:val="00B92F94"/>
    <w:rsid w:val="00B930BE"/>
    <w:rsid w:val="00B9331D"/>
    <w:rsid w:val="00B93456"/>
    <w:rsid w:val="00B936EC"/>
    <w:rsid w:val="00B93711"/>
    <w:rsid w:val="00B9386C"/>
    <w:rsid w:val="00B939A4"/>
    <w:rsid w:val="00B93D0A"/>
    <w:rsid w:val="00B93D12"/>
    <w:rsid w:val="00B93F0F"/>
    <w:rsid w:val="00B942B5"/>
    <w:rsid w:val="00B9436F"/>
    <w:rsid w:val="00B943BC"/>
    <w:rsid w:val="00B94717"/>
    <w:rsid w:val="00B94E02"/>
    <w:rsid w:val="00B94E7F"/>
    <w:rsid w:val="00B94EEB"/>
    <w:rsid w:val="00B95430"/>
    <w:rsid w:val="00B95706"/>
    <w:rsid w:val="00B95725"/>
    <w:rsid w:val="00B95753"/>
    <w:rsid w:val="00B95764"/>
    <w:rsid w:val="00B957AE"/>
    <w:rsid w:val="00B95838"/>
    <w:rsid w:val="00B95887"/>
    <w:rsid w:val="00B95D10"/>
    <w:rsid w:val="00B95FBE"/>
    <w:rsid w:val="00B9632D"/>
    <w:rsid w:val="00B963F6"/>
    <w:rsid w:val="00B9643E"/>
    <w:rsid w:val="00B967A5"/>
    <w:rsid w:val="00B9688B"/>
    <w:rsid w:val="00B9694E"/>
    <w:rsid w:val="00B9697B"/>
    <w:rsid w:val="00B96A66"/>
    <w:rsid w:val="00B96BFB"/>
    <w:rsid w:val="00B96C02"/>
    <w:rsid w:val="00B96C0F"/>
    <w:rsid w:val="00B96D2C"/>
    <w:rsid w:val="00B96E62"/>
    <w:rsid w:val="00B96F1A"/>
    <w:rsid w:val="00B971B5"/>
    <w:rsid w:val="00B97492"/>
    <w:rsid w:val="00B979BD"/>
    <w:rsid w:val="00B97AF6"/>
    <w:rsid w:val="00B97D58"/>
    <w:rsid w:val="00BA0124"/>
    <w:rsid w:val="00BA017F"/>
    <w:rsid w:val="00BA08FB"/>
    <w:rsid w:val="00BA0958"/>
    <w:rsid w:val="00BA0AAA"/>
    <w:rsid w:val="00BA0C60"/>
    <w:rsid w:val="00BA0E10"/>
    <w:rsid w:val="00BA0EFD"/>
    <w:rsid w:val="00BA0FF3"/>
    <w:rsid w:val="00BA10AB"/>
    <w:rsid w:val="00BA171E"/>
    <w:rsid w:val="00BA1A32"/>
    <w:rsid w:val="00BA1A76"/>
    <w:rsid w:val="00BA1B57"/>
    <w:rsid w:val="00BA20F7"/>
    <w:rsid w:val="00BA2111"/>
    <w:rsid w:val="00BA2185"/>
    <w:rsid w:val="00BA2203"/>
    <w:rsid w:val="00BA23E6"/>
    <w:rsid w:val="00BA2477"/>
    <w:rsid w:val="00BA283D"/>
    <w:rsid w:val="00BA2870"/>
    <w:rsid w:val="00BA2E68"/>
    <w:rsid w:val="00BA331E"/>
    <w:rsid w:val="00BA3332"/>
    <w:rsid w:val="00BA3335"/>
    <w:rsid w:val="00BA334F"/>
    <w:rsid w:val="00BA34C2"/>
    <w:rsid w:val="00BA3871"/>
    <w:rsid w:val="00BA3888"/>
    <w:rsid w:val="00BA3CE0"/>
    <w:rsid w:val="00BA3D4A"/>
    <w:rsid w:val="00BA3F8A"/>
    <w:rsid w:val="00BA4329"/>
    <w:rsid w:val="00BA455D"/>
    <w:rsid w:val="00BA460B"/>
    <w:rsid w:val="00BA488B"/>
    <w:rsid w:val="00BA4CF4"/>
    <w:rsid w:val="00BA500F"/>
    <w:rsid w:val="00BA5147"/>
    <w:rsid w:val="00BA5328"/>
    <w:rsid w:val="00BA53DE"/>
    <w:rsid w:val="00BA54A2"/>
    <w:rsid w:val="00BA54C1"/>
    <w:rsid w:val="00BA57B0"/>
    <w:rsid w:val="00BA57F2"/>
    <w:rsid w:val="00BA5A1B"/>
    <w:rsid w:val="00BA5B77"/>
    <w:rsid w:val="00BA5BC0"/>
    <w:rsid w:val="00BA6099"/>
    <w:rsid w:val="00BA620C"/>
    <w:rsid w:val="00BA623E"/>
    <w:rsid w:val="00BA6288"/>
    <w:rsid w:val="00BA6360"/>
    <w:rsid w:val="00BA6630"/>
    <w:rsid w:val="00BA66DF"/>
    <w:rsid w:val="00BA6841"/>
    <w:rsid w:val="00BA69DC"/>
    <w:rsid w:val="00BA6C28"/>
    <w:rsid w:val="00BA6F7A"/>
    <w:rsid w:val="00BA6FE2"/>
    <w:rsid w:val="00BA7105"/>
    <w:rsid w:val="00BA71CE"/>
    <w:rsid w:val="00BA7360"/>
    <w:rsid w:val="00BA7583"/>
    <w:rsid w:val="00BA7599"/>
    <w:rsid w:val="00BA765A"/>
    <w:rsid w:val="00BA76CC"/>
    <w:rsid w:val="00BA7769"/>
    <w:rsid w:val="00BA7788"/>
    <w:rsid w:val="00BA7A5C"/>
    <w:rsid w:val="00BA7D0E"/>
    <w:rsid w:val="00BA7EB2"/>
    <w:rsid w:val="00BA7EC8"/>
    <w:rsid w:val="00BB0058"/>
    <w:rsid w:val="00BB0097"/>
    <w:rsid w:val="00BB0220"/>
    <w:rsid w:val="00BB02E6"/>
    <w:rsid w:val="00BB0307"/>
    <w:rsid w:val="00BB0360"/>
    <w:rsid w:val="00BB03C0"/>
    <w:rsid w:val="00BB0471"/>
    <w:rsid w:val="00BB05AA"/>
    <w:rsid w:val="00BB0731"/>
    <w:rsid w:val="00BB07A5"/>
    <w:rsid w:val="00BB07F2"/>
    <w:rsid w:val="00BB0AA7"/>
    <w:rsid w:val="00BB0BF1"/>
    <w:rsid w:val="00BB0CA8"/>
    <w:rsid w:val="00BB0FBF"/>
    <w:rsid w:val="00BB104E"/>
    <w:rsid w:val="00BB10D3"/>
    <w:rsid w:val="00BB137C"/>
    <w:rsid w:val="00BB1476"/>
    <w:rsid w:val="00BB14EB"/>
    <w:rsid w:val="00BB17C8"/>
    <w:rsid w:val="00BB190F"/>
    <w:rsid w:val="00BB1C55"/>
    <w:rsid w:val="00BB1CFB"/>
    <w:rsid w:val="00BB1FB6"/>
    <w:rsid w:val="00BB20C1"/>
    <w:rsid w:val="00BB220E"/>
    <w:rsid w:val="00BB2413"/>
    <w:rsid w:val="00BB247A"/>
    <w:rsid w:val="00BB252F"/>
    <w:rsid w:val="00BB2730"/>
    <w:rsid w:val="00BB2792"/>
    <w:rsid w:val="00BB2811"/>
    <w:rsid w:val="00BB28AA"/>
    <w:rsid w:val="00BB2AEF"/>
    <w:rsid w:val="00BB2C42"/>
    <w:rsid w:val="00BB2C98"/>
    <w:rsid w:val="00BB2F6A"/>
    <w:rsid w:val="00BB2FD7"/>
    <w:rsid w:val="00BB3001"/>
    <w:rsid w:val="00BB3014"/>
    <w:rsid w:val="00BB30E8"/>
    <w:rsid w:val="00BB34BF"/>
    <w:rsid w:val="00BB361D"/>
    <w:rsid w:val="00BB37DB"/>
    <w:rsid w:val="00BB38C1"/>
    <w:rsid w:val="00BB3A57"/>
    <w:rsid w:val="00BB3AF5"/>
    <w:rsid w:val="00BB3D6C"/>
    <w:rsid w:val="00BB3E78"/>
    <w:rsid w:val="00BB40A2"/>
    <w:rsid w:val="00BB40DC"/>
    <w:rsid w:val="00BB4336"/>
    <w:rsid w:val="00BB4478"/>
    <w:rsid w:val="00BB456F"/>
    <w:rsid w:val="00BB458E"/>
    <w:rsid w:val="00BB4718"/>
    <w:rsid w:val="00BB477C"/>
    <w:rsid w:val="00BB4851"/>
    <w:rsid w:val="00BB48E6"/>
    <w:rsid w:val="00BB4A7C"/>
    <w:rsid w:val="00BB4BC0"/>
    <w:rsid w:val="00BB4C76"/>
    <w:rsid w:val="00BB5052"/>
    <w:rsid w:val="00BB50E5"/>
    <w:rsid w:val="00BB50F5"/>
    <w:rsid w:val="00BB5160"/>
    <w:rsid w:val="00BB53A9"/>
    <w:rsid w:val="00BB54EE"/>
    <w:rsid w:val="00BB561C"/>
    <w:rsid w:val="00BB5819"/>
    <w:rsid w:val="00BB5821"/>
    <w:rsid w:val="00BB58C7"/>
    <w:rsid w:val="00BB58D8"/>
    <w:rsid w:val="00BB5907"/>
    <w:rsid w:val="00BB5B71"/>
    <w:rsid w:val="00BB5C72"/>
    <w:rsid w:val="00BB5ED2"/>
    <w:rsid w:val="00BB6062"/>
    <w:rsid w:val="00BB6265"/>
    <w:rsid w:val="00BB6518"/>
    <w:rsid w:val="00BB65C8"/>
    <w:rsid w:val="00BB6884"/>
    <w:rsid w:val="00BB69A7"/>
    <w:rsid w:val="00BB6A5A"/>
    <w:rsid w:val="00BB6C74"/>
    <w:rsid w:val="00BB6DDE"/>
    <w:rsid w:val="00BB6F6B"/>
    <w:rsid w:val="00BB7127"/>
    <w:rsid w:val="00BB7369"/>
    <w:rsid w:val="00BB7477"/>
    <w:rsid w:val="00BB7558"/>
    <w:rsid w:val="00BB764D"/>
    <w:rsid w:val="00BB7661"/>
    <w:rsid w:val="00BB78AB"/>
    <w:rsid w:val="00BB7FC7"/>
    <w:rsid w:val="00BB7FDA"/>
    <w:rsid w:val="00BC0113"/>
    <w:rsid w:val="00BC013D"/>
    <w:rsid w:val="00BC0141"/>
    <w:rsid w:val="00BC021B"/>
    <w:rsid w:val="00BC023D"/>
    <w:rsid w:val="00BC033E"/>
    <w:rsid w:val="00BC053C"/>
    <w:rsid w:val="00BC062E"/>
    <w:rsid w:val="00BC066C"/>
    <w:rsid w:val="00BC0821"/>
    <w:rsid w:val="00BC0B36"/>
    <w:rsid w:val="00BC0B7C"/>
    <w:rsid w:val="00BC0B90"/>
    <w:rsid w:val="00BC0BCD"/>
    <w:rsid w:val="00BC0FF9"/>
    <w:rsid w:val="00BC121C"/>
    <w:rsid w:val="00BC1565"/>
    <w:rsid w:val="00BC168B"/>
    <w:rsid w:val="00BC19F9"/>
    <w:rsid w:val="00BC1AA3"/>
    <w:rsid w:val="00BC1BA7"/>
    <w:rsid w:val="00BC1C67"/>
    <w:rsid w:val="00BC1D4B"/>
    <w:rsid w:val="00BC1DE5"/>
    <w:rsid w:val="00BC1E4A"/>
    <w:rsid w:val="00BC1F16"/>
    <w:rsid w:val="00BC2530"/>
    <w:rsid w:val="00BC28C8"/>
    <w:rsid w:val="00BC2AA6"/>
    <w:rsid w:val="00BC2B2F"/>
    <w:rsid w:val="00BC2C08"/>
    <w:rsid w:val="00BC306F"/>
    <w:rsid w:val="00BC341E"/>
    <w:rsid w:val="00BC34BE"/>
    <w:rsid w:val="00BC34C7"/>
    <w:rsid w:val="00BC34DB"/>
    <w:rsid w:val="00BC351B"/>
    <w:rsid w:val="00BC38AC"/>
    <w:rsid w:val="00BC3AEB"/>
    <w:rsid w:val="00BC3B85"/>
    <w:rsid w:val="00BC3BAF"/>
    <w:rsid w:val="00BC3C05"/>
    <w:rsid w:val="00BC3ED7"/>
    <w:rsid w:val="00BC3F3A"/>
    <w:rsid w:val="00BC3F43"/>
    <w:rsid w:val="00BC4032"/>
    <w:rsid w:val="00BC40CA"/>
    <w:rsid w:val="00BC412F"/>
    <w:rsid w:val="00BC416B"/>
    <w:rsid w:val="00BC4183"/>
    <w:rsid w:val="00BC4663"/>
    <w:rsid w:val="00BC4674"/>
    <w:rsid w:val="00BC4789"/>
    <w:rsid w:val="00BC496B"/>
    <w:rsid w:val="00BC4AA3"/>
    <w:rsid w:val="00BC4D3D"/>
    <w:rsid w:val="00BC4D73"/>
    <w:rsid w:val="00BC4D83"/>
    <w:rsid w:val="00BC4EF9"/>
    <w:rsid w:val="00BC4F94"/>
    <w:rsid w:val="00BC50D3"/>
    <w:rsid w:val="00BC523D"/>
    <w:rsid w:val="00BC52DA"/>
    <w:rsid w:val="00BC53D3"/>
    <w:rsid w:val="00BC54D6"/>
    <w:rsid w:val="00BC5592"/>
    <w:rsid w:val="00BC5709"/>
    <w:rsid w:val="00BC5780"/>
    <w:rsid w:val="00BC5A13"/>
    <w:rsid w:val="00BC5A69"/>
    <w:rsid w:val="00BC5BFB"/>
    <w:rsid w:val="00BC5C54"/>
    <w:rsid w:val="00BC5D42"/>
    <w:rsid w:val="00BC6021"/>
    <w:rsid w:val="00BC60B2"/>
    <w:rsid w:val="00BC615D"/>
    <w:rsid w:val="00BC6521"/>
    <w:rsid w:val="00BC65C4"/>
    <w:rsid w:val="00BC6665"/>
    <w:rsid w:val="00BC6868"/>
    <w:rsid w:val="00BC695E"/>
    <w:rsid w:val="00BC6C96"/>
    <w:rsid w:val="00BC6D6F"/>
    <w:rsid w:val="00BC6FE6"/>
    <w:rsid w:val="00BC7068"/>
    <w:rsid w:val="00BC7092"/>
    <w:rsid w:val="00BC7194"/>
    <w:rsid w:val="00BC71BD"/>
    <w:rsid w:val="00BC723D"/>
    <w:rsid w:val="00BC7268"/>
    <w:rsid w:val="00BC7433"/>
    <w:rsid w:val="00BC7E51"/>
    <w:rsid w:val="00BC7E67"/>
    <w:rsid w:val="00BD00FE"/>
    <w:rsid w:val="00BD010B"/>
    <w:rsid w:val="00BD06CA"/>
    <w:rsid w:val="00BD080E"/>
    <w:rsid w:val="00BD0B79"/>
    <w:rsid w:val="00BD0C32"/>
    <w:rsid w:val="00BD0F63"/>
    <w:rsid w:val="00BD0F98"/>
    <w:rsid w:val="00BD0F9E"/>
    <w:rsid w:val="00BD12A1"/>
    <w:rsid w:val="00BD14D6"/>
    <w:rsid w:val="00BD14DF"/>
    <w:rsid w:val="00BD1A32"/>
    <w:rsid w:val="00BD1C0B"/>
    <w:rsid w:val="00BD1D5D"/>
    <w:rsid w:val="00BD1D9F"/>
    <w:rsid w:val="00BD1F07"/>
    <w:rsid w:val="00BD2049"/>
    <w:rsid w:val="00BD2153"/>
    <w:rsid w:val="00BD2175"/>
    <w:rsid w:val="00BD2363"/>
    <w:rsid w:val="00BD23C6"/>
    <w:rsid w:val="00BD2458"/>
    <w:rsid w:val="00BD24AF"/>
    <w:rsid w:val="00BD2769"/>
    <w:rsid w:val="00BD2879"/>
    <w:rsid w:val="00BD296C"/>
    <w:rsid w:val="00BD2CBA"/>
    <w:rsid w:val="00BD2D45"/>
    <w:rsid w:val="00BD2D56"/>
    <w:rsid w:val="00BD2DB8"/>
    <w:rsid w:val="00BD2E7A"/>
    <w:rsid w:val="00BD2ECE"/>
    <w:rsid w:val="00BD32B6"/>
    <w:rsid w:val="00BD331D"/>
    <w:rsid w:val="00BD354D"/>
    <w:rsid w:val="00BD36C5"/>
    <w:rsid w:val="00BD3C0C"/>
    <w:rsid w:val="00BD3D9E"/>
    <w:rsid w:val="00BD3E10"/>
    <w:rsid w:val="00BD3EA2"/>
    <w:rsid w:val="00BD3F5D"/>
    <w:rsid w:val="00BD4166"/>
    <w:rsid w:val="00BD4265"/>
    <w:rsid w:val="00BD4406"/>
    <w:rsid w:val="00BD449A"/>
    <w:rsid w:val="00BD44FD"/>
    <w:rsid w:val="00BD4644"/>
    <w:rsid w:val="00BD4700"/>
    <w:rsid w:val="00BD494D"/>
    <w:rsid w:val="00BD4BB8"/>
    <w:rsid w:val="00BD4DFE"/>
    <w:rsid w:val="00BD4F79"/>
    <w:rsid w:val="00BD50A7"/>
    <w:rsid w:val="00BD51AB"/>
    <w:rsid w:val="00BD522E"/>
    <w:rsid w:val="00BD52CF"/>
    <w:rsid w:val="00BD52D8"/>
    <w:rsid w:val="00BD53DE"/>
    <w:rsid w:val="00BD5401"/>
    <w:rsid w:val="00BD54EA"/>
    <w:rsid w:val="00BD5648"/>
    <w:rsid w:val="00BD566A"/>
    <w:rsid w:val="00BD5687"/>
    <w:rsid w:val="00BD59B8"/>
    <w:rsid w:val="00BD59F3"/>
    <w:rsid w:val="00BD5A0F"/>
    <w:rsid w:val="00BD5B0A"/>
    <w:rsid w:val="00BD5B64"/>
    <w:rsid w:val="00BD630B"/>
    <w:rsid w:val="00BD6385"/>
    <w:rsid w:val="00BD6472"/>
    <w:rsid w:val="00BD6520"/>
    <w:rsid w:val="00BD657C"/>
    <w:rsid w:val="00BD661E"/>
    <w:rsid w:val="00BD67F6"/>
    <w:rsid w:val="00BD6967"/>
    <w:rsid w:val="00BD7142"/>
    <w:rsid w:val="00BD7290"/>
    <w:rsid w:val="00BD7310"/>
    <w:rsid w:val="00BD7453"/>
    <w:rsid w:val="00BD75A3"/>
    <w:rsid w:val="00BD75B6"/>
    <w:rsid w:val="00BD7675"/>
    <w:rsid w:val="00BD7932"/>
    <w:rsid w:val="00BD7A41"/>
    <w:rsid w:val="00BD7B07"/>
    <w:rsid w:val="00BD7B50"/>
    <w:rsid w:val="00BD7BD9"/>
    <w:rsid w:val="00BD7C96"/>
    <w:rsid w:val="00BD7D41"/>
    <w:rsid w:val="00BD7D58"/>
    <w:rsid w:val="00BD7D8D"/>
    <w:rsid w:val="00BD7DDC"/>
    <w:rsid w:val="00BD7E95"/>
    <w:rsid w:val="00BD7ED4"/>
    <w:rsid w:val="00BE006E"/>
    <w:rsid w:val="00BE02FB"/>
    <w:rsid w:val="00BE062C"/>
    <w:rsid w:val="00BE07EB"/>
    <w:rsid w:val="00BE0CD0"/>
    <w:rsid w:val="00BE0E07"/>
    <w:rsid w:val="00BE0F0A"/>
    <w:rsid w:val="00BE0F4B"/>
    <w:rsid w:val="00BE0F91"/>
    <w:rsid w:val="00BE1109"/>
    <w:rsid w:val="00BE12A5"/>
    <w:rsid w:val="00BE14F6"/>
    <w:rsid w:val="00BE14F7"/>
    <w:rsid w:val="00BE152A"/>
    <w:rsid w:val="00BE15EB"/>
    <w:rsid w:val="00BE15FA"/>
    <w:rsid w:val="00BE1653"/>
    <w:rsid w:val="00BE1C12"/>
    <w:rsid w:val="00BE2072"/>
    <w:rsid w:val="00BE27EB"/>
    <w:rsid w:val="00BE283E"/>
    <w:rsid w:val="00BE2993"/>
    <w:rsid w:val="00BE2A9C"/>
    <w:rsid w:val="00BE2CDC"/>
    <w:rsid w:val="00BE2DAA"/>
    <w:rsid w:val="00BE310E"/>
    <w:rsid w:val="00BE3227"/>
    <w:rsid w:val="00BE323F"/>
    <w:rsid w:val="00BE3298"/>
    <w:rsid w:val="00BE334D"/>
    <w:rsid w:val="00BE34CB"/>
    <w:rsid w:val="00BE359D"/>
    <w:rsid w:val="00BE35CD"/>
    <w:rsid w:val="00BE3B14"/>
    <w:rsid w:val="00BE3D28"/>
    <w:rsid w:val="00BE3D30"/>
    <w:rsid w:val="00BE3D54"/>
    <w:rsid w:val="00BE3DC4"/>
    <w:rsid w:val="00BE3F17"/>
    <w:rsid w:val="00BE443A"/>
    <w:rsid w:val="00BE4490"/>
    <w:rsid w:val="00BE458B"/>
    <w:rsid w:val="00BE4695"/>
    <w:rsid w:val="00BE46C8"/>
    <w:rsid w:val="00BE46C9"/>
    <w:rsid w:val="00BE4788"/>
    <w:rsid w:val="00BE485B"/>
    <w:rsid w:val="00BE4AFF"/>
    <w:rsid w:val="00BE4CF1"/>
    <w:rsid w:val="00BE4D43"/>
    <w:rsid w:val="00BE4E1B"/>
    <w:rsid w:val="00BE4F1C"/>
    <w:rsid w:val="00BE5062"/>
    <w:rsid w:val="00BE510F"/>
    <w:rsid w:val="00BE5143"/>
    <w:rsid w:val="00BE525C"/>
    <w:rsid w:val="00BE5525"/>
    <w:rsid w:val="00BE5720"/>
    <w:rsid w:val="00BE5755"/>
    <w:rsid w:val="00BE594E"/>
    <w:rsid w:val="00BE59C3"/>
    <w:rsid w:val="00BE5A9F"/>
    <w:rsid w:val="00BE5BE2"/>
    <w:rsid w:val="00BE5DA1"/>
    <w:rsid w:val="00BE5E7D"/>
    <w:rsid w:val="00BE5FAC"/>
    <w:rsid w:val="00BE5FFA"/>
    <w:rsid w:val="00BE6536"/>
    <w:rsid w:val="00BE6757"/>
    <w:rsid w:val="00BE68CF"/>
    <w:rsid w:val="00BE6946"/>
    <w:rsid w:val="00BE6BD2"/>
    <w:rsid w:val="00BE6D29"/>
    <w:rsid w:val="00BE6ECF"/>
    <w:rsid w:val="00BE6F55"/>
    <w:rsid w:val="00BE72D5"/>
    <w:rsid w:val="00BE73AF"/>
    <w:rsid w:val="00BE74CA"/>
    <w:rsid w:val="00BE74EA"/>
    <w:rsid w:val="00BE7560"/>
    <w:rsid w:val="00BE7728"/>
    <w:rsid w:val="00BE780A"/>
    <w:rsid w:val="00BE7868"/>
    <w:rsid w:val="00BE7A5A"/>
    <w:rsid w:val="00BE7ADE"/>
    <w:rsid w:val="00BE7B12"/>
    <w:rsid w:val="00BF0110"/>
    <w:rsid w:val="00BF044F"/>
    <w:rsid w:val="00BF04CD"/>
    <w:rsid w:val="00BF07E4"/>
    <w:rsid w:val="00BF08CC"/>
    <w:rsid w:val="00BF0B70"/>
    <w:rsid w:val="00BF0BD7"/>
    <w:rsid w:val="00BF0C42"/>
    <w:rsid w:val="00BF0F4A"/>
    <w:rsid w:val="00BF1183"/>
    <w:rsid w:val="00BF1436"/>
    <w:rsid w:val="00BF16BB"/>
    <w:rsid w:val="00BF1751"/>
    <w:rsid w:val="00BF1784"/>
    <w:rsid w:val="00BF1859"/>
    <w:rsid w:val="00BF1865"/>
    <w:rsid w:val="00BF1AD9"/>
    <w:rsid w:val="00BF1E03"/>
    <w:rsid w:val="00BF1E4E"/>
    <w:rsid w:val="00BF1FE3"/>
    <w:rsid w:val="00BF20CF"/>
    <w:rsid w:val="00BF2325"/>
    <w:rsid w:val="00BF2328"/>
    <w:rsid w:val="00BF2385"/>
    <w:rsid w:val="00BF253D"/>
    <w:rsid w:val="00BF25CD"/>
    <w:rsid w:val="00BF27A3"/>
    <w:rsid w:val="00BF2A17"/>
    <w:rsid w:val="00BF2F2C"/>
    <w:rsid w:val="00BF2FA7"/>
    <w:rsid w:val="00BF2FDD"/>
    <w:rsid w:val="00BF32F2"/>
    <w:rsid w:val="00BF337C"/>
    <w:rsid w:val="00BF3515"/>
    <w:rsid w:val="00BF3794"/>
    <w:rsid w:val="00BF3AA9"/>
    <w:rsid w:val="00BF3C91"/>
    <w:rsid w:val="00BF3D85"/>
    <w:rsid w:val="00BF3E20"/>
    <w:rsid w:val="00BF4216"/>
    <w:rsid w:val="00BF439B"/>
    <w:rsid w:val="00BF4600"/>
    <w:rsid w:val="00BF4602"/>
    <w:rsid w:val="00BF464E"/>
    <w:rsid w:val="00BF47C6"/>
    <w:rsid w:val="00BF480D"/>
    <w:rsid w:val="00BF488B"/>
    <w:rsid w:val="00BF4A8D"/>
    <w:rsid w:val="00BF4AAF"/>
    <w:rsid w:val="00BF4C20"/>
    <w:rsid w:val="00BF4CA2"/>
    <w:rsid w:val="00BF4DB1"/>
    <w:rsid w:val="00BF5008"/>
    <w:rsid w:val="00BF5051"/>
    <w:rsid w:val="00BF530B"/>
    <w:rsid w:val="00BF56B1"/>
    <w:rsid w:val="00BF5758"/>
    <w:rsid w:val="00BF5C2B"/>
    <w:rsid w:val="00BF5C87"/>
    <w:rsid w:val="00BF5E1A"/>
    <w:rsid w:val="00BF5FEB"/>
    <w:rsid w:val="00BF6199"/>
    <w:rsid w:val="00BF652E"/>
    <w:rsid w:val="00BF6906"/>
    <w:rsid w:val="00BF6B9F"/>
    <w:rsid w:val="00BF6C6B"/>
    <w:rsid w:val="00BF6CB4"/>
    <w:rsid w:val="00BF6E65"/>
    <w:rsid w:val="00BF7014"/>
    <w:rsid w:val="00BF70CF"/>
    <w:rsid w:val="00BF72EE"/>
    <w:rsid w:val="00BF73F4"/>
    <w:rsid w:val="00BF74B2"/>
    <w:rsid w:val="00BF7536"/>
    <w:rsid w:val="00BF7682"/>
    <w:rsid w:val="00BF776A"/>
    <w:rsid w:val="00BF78B6"/>
    <w:rsid w:val="00BF78F1"/>
    <w:rsid w:val="00BF7981"/>
    <w:rsid w:val="00BF7CF0"/>
    <w:rsid w:val="00BF7D54"/>
    <w:rsid w:val="00BF7DEE"/>
    <w:rsid w:val="00C00014"/>
    <w:rsid w:val="00C0001C"/>
    <w:rsid w:val="00C002F4"/>
    <w:rsid w:val="00C00421"/>
    <w:rsid w:val="00C004DB"/>
    <w:rsid w:val="00C00548"/>
    <w:rsid w:val="00C00589"/>
    <w:rsid w:val="00C00616"/>
    <w:rsid w:val="00C0068B"/>
    <w:rsid w:val="00C00B44"/>
    <w:rsid w:val="00C00B97"/>
    <w:rsid w:val="00C00CD7"/>
    <w:rsid w:val="00C00D93"/>
    <w:rsid w:val="00C00E58"/>
    <w:rsid w:val="00C00EB5"/>
    <w:rsid w:val="00C00FAC"/>
    <w:rsid w:val="00C0115E"/>
    <w:rsid w:val="00C01189"/>
    <w:rsid w:val="00C01509"/>
    <w:rsid w:val="00C018E1"/>
    <w:rsid w:val="00C01AF3"/>
    <w:rsid w:val="00C01B55"/>
    <w:rsid w:val="00C01C1A"/>
    <w:rsid w:val="00C01D45"/>
    <w:rsid w:val="00C01DDC"/>
    <w:rsid w:val="00C01F34"/>
    <w:rsid w:val="00C01F85"/>
    <w:rsid w:val="00C0207A"/>
    <w:rsid w:val="00C020AE"/>
    <w:rsid w:val="00C022B5"/>
    <w:rsid w:val="00C022C1"/>
    <w:rsid w:val="00C0241E"/>
    <w:rsid w:val="00C0243A"/>
    <w:rsid w:val="00C024BB"/>
    <w:rsid w:val="00C024C8"/>
    <w:rsid w:val="00C02533"/>
    <w:rsid w:val="00C02681"/>
    <w:rsid w:val="00C02B1D"/>
    <w:rsid w:val="00C02B29"/>
    <w:rsid w:val="00C02E62"/>
    <w:rsid w:val="00C02E94"/>
    <w:rsid w:val="00C02EBA"/>
    <w:rsid w:val="00C03164"/>
    <w:rsid w:val="00C0335C"/>
    <w:rsid w:val="00C0336E"/>
    <w:rsid w:val="00C034B4"/>
    <w:rsid w:val="00C034E6"/>
    <w:rsid w:val="00C039C3"/>
    <w:rsid w:val="00C03D12"/>
    <w:rsid w:val="00C03D5D"/>
    <w:rsid w:val="00C04052"/>
    <w:rsid w:val="00C04079"/>
    <w:rsid w:val="00C0416F"/>
    <w:rsid w:val="00C04711"/>
    <w:rsid w:val="00C0472D"/>
    <w:rsid w:val="00C04802"/>
    <w:rsid w:val="00C04BA7"/>
    <w:rsid w:val="00C04BBB"/>
    <w:rsid w:val="00C04CD6"/>
    <w:rsid w:val="00C04FE3"/>
    <w:rsid w:val="00C0511B"/>
    <w:rsid w:val="00C051B5"/>
    <w:rsid w:val="00C052FC"/>
    <w:rsid w:val="00C0553C"/>
    <w:rsid w:val="00C05871"/>
    <w:rsid w:val="00C05A40"/>
    <w:rsid w:val="00C05A6E"/>
    <w:rsid w:val="00C06021"/>
    <w:rsid w:val="00C063F2"/>
    <w:rsid w:val="00C06B19"/>
    <w:rsid w:val="00C06BD2"/>
    <w:rsid w:val="00C06DD6"/>
    <w:rsid w:val="00C06E53"/>
    <w:rsid w:val="00C06F72"/>
    <w:rsid w:val="00C07314"/>
    <w:rsid w:val="00C07369"/>
    <w:rsid w:val="00C07624"/>
    <w:rsid w:val="00C0765A"/>
    <w:rsid w:val="00C07712"/>
    <w:rsid w:val="00C07797"/>
    <w:rsid w:val="00C07847"/>
    <w:rsid w:val="00C07893"/>
    <w:rsid w:val="00C07C34"/>
    <w:rsid w:val="00C07C5A"/>
    <w:rsid w:val="00C07EE4"/>
    <w:rsid w:val="00C07F2A"/>
    <w:rsid w:val="00C07FD2"/>
    <w:rsid w:val="00C100C4"/>
    <w:rsid w:val="00C10167"/>
    <w:rsid w:val="00C1085C"/>
    <w:rsid w:val="00C10D40"/>
    <w:rsid w:val="00C11071"/>
    <w:rsid w:val="00C114BA"/>
    <w:rsid w:val="00C11CDA"/>
    <w:rsid w:val="00C11EA0"/>
    <w:rsid w:val="00C12138"/>
    <w:rsid w:val="00C125DA"/>
    <w:rsid w:val="00C12642"/>
    <w:rsid w:val="00C126CE"/>
    <w:rsid w:val="00C126F2"/>
    <w:rsid w:val="00C1271F"/>
    <w:rsid w:val="00C12725"/>
    <w:rsid w:val="00C12AE4"/>
    <w:rsid w:val="00C12C0C"/>
    <w:rsid w:val="00C12C16"/>
    <w:rsid w:val="00C12C79"/>
    <w:rsid w:val="00C12FCE"/>
    <w:rsid w:val="00C13420"/>
    <w:rsid w:val="00C137FE"/>
    <w:rsid w:val="00C138F9"/>
    <w:rsid w:val="00C138FB"/>
    <w:rsid w:val="00C138FE"/>
    <w:rsid w:val="00C13B85"/>
    <w:rsid w:val="00C13C24"/>
    <w:rsid w:val="00C13F24"/>
    <w:rsid w:val="00C14125"/>
    <w:rsid w:val="00C14174"/>
    <w:rsid w:val="00C14350"/>
    <w:rsid w:val="00C145D4"/>
    <w:rsid w:val="00C145ED"/>
    <w:rsid w:val="00C14600"/>
    <w:rsid w:val="00C14B96"/>
    <w:rsid w:val="00C14C20"/>
    <w:rsid w:val="00C1525F"/>
    <w:rsid w:val="00C152B5"/>
    <w:rsid w:val="00C152E7"/>
    <w:rsid w:val="00C156D0"/>
    <w:rsid w:val="00C1579E"/>
    <w:rsid w:val="00C158E0"/>
    <w:rsid w:val="00C159D6"/>
    <w:rsid w:val="00C15A08"/>
    <w:rsid w:val="00C15A9E"/>
    <w:rsid w:val="00C15BB0"/>
    <w:rsid w:val="00C15CE8"/>
    <w:rsid w:val="00C15E03"/>
    <w:rsid w:val="00C16361"/>
    <w:rsid w:val="00C16449"/>
    <w:rsid w:val="00C164C6"/>
    <w:rsid w:val="00C1683C"/>
    <w:rsid w:val="00C16892"/>
    <w:rsid w:val="00C16BBE"/>
    <w:rsid w:val="00C1717A"/>
    <w:rsid w:val="00C17283"/>
    <w:rsid w:val="00C172F8"/>
    <w:rsid w:val="00C1767A"/>
    <w:rsid w:val="00C1774A"/>
    <w:rsid w:val="00C17799"/>
    <w:rsid w:val="00C17874"/>
    <w:rsid w:val="00C17BC5"/>
    <w:rsid w:val="00C202AC"/>
    <w:rsid w:val="00C20509"/>
    <w:rsid w:val="00C2068C"/>
    <w:rsid w:val="00C2089F"/>
    <w:rsid w:val="00C20907"/>
    <w:rsid w:val="00C20DFA"/>
    <w:rsid w:val="00C210EB"/>
    <w:rsid w:val="00C21150"/>
    <w:rsid w:val="00C211C3"/>
    <w:rsid w:val="00C2125F"/>
    <w:rsid w:val="00C21388"/>
    <w:rsid w:val="00C21393"/>
    <w:rsid w:val="00C21888"/>
    <w:rsid w:val="00C218F4"/>
    <w:rsid w:val="00C21CB9"/>
    <w:rsid w:val="00C21DCA"/>
    <w:rsid w:val="00C21F2E"/>
    <w:rsid w:val="00C22147"/>
    <w:rsid w:val="00C22177"/>
    <w:rsid w:val="00C22179"/>
    <w:rsid w:val="00C2228E"/>
    <w:rsid w:val="00C22314"/>
    <w:rsid w:val="00C22499"/>
    <w:rsid w:val="00C2280C"/>
    <w:rsid w:val="00C2330A"/>
    <w:rsid w:val="00C23B11"/>
    <w:rsid w:val="00C23DBA"/>
    <w:rsid w:val="00C23E4B"/>
    <w:rsid w:val="00C23F60"/>
    <w:rsid w:val="00C24029"/>
    <w:rsid w:val="00C2409B"/>
    <w:rsid w:val="00C24107"/>
    <w:rsid w:val="00C242DC"/>
    <w:rsid w:val="00C244AE"/>
    <w:rsid w:val="00C24851"/>
    <w:rsid w:val="00C248B5"/>
    <w:rsid w:val="00C24A32"/>
    <w:rsid w:val="00C24B0B"/>
    <w:rsid w:val="00C24E00"/>
    <w:rsid w:val="00C252C8"/>
    <w:rsid w:val="00C2543B"/>
    <w:rsid w:val="00C2558B"/>
    <w:rsid w:val="00C25829"/>
    <w:rsid w:val="00C258A6"/>
    <w:rsid w:val="00C25A47"/>
    <w:rsid w:val="00C25AE2"/>
    <w:rsid w:val="00C25BC2"/>
    <w:rsid w:val="00C25CB2"/>
    <w:rsid w:val="00C25CE9"/>
    <w:rsid w:val="00C25E26"/>
    <w:rsid w:val="00C25F05"/>
    <w:rsid w:val="00C25F4D"/>
    <w:rsid w:val="00C25FE0"/>
    <w:rsid w:val="00C260DE"/>
    <w:rsid w:val="00C260FF"/>
    <w:rsid w:val="00C26244"/>
    <w:rsid w:val="00C26252"/>
    <w:rsid w:val="00C262A2"/>
    <w:rsid w:val="00C264C7"/>
    <w:rsid w:val="00C2659F"/>
    <w:rsid w:val="00C2670E"/>
    <w:rsid w:val="00C26CAF"/>
    <w:rsid w:val="00C26D3B"/>
    <w:rsid w:val="00C26FE2"/>
    <w:rsid w:val="00C270CD"/>
    <w:rsid w:val="00C2721E"/>
    <w:rsid w:val="00C2731F"/>
    <w:rsid w:val="00C2756B"/>
    <w:rsid w:val="00C27596"/>
    <w:rsid w:val="00C27765"/>
    <w:rsid w:val="00C27823"/>
    <w:rsid w:val="00C2798F"/>
    <w:rsid w:val="00C279C5"/>
    <w:rsid w:val="00C27BA0"/>
    <w:rsid w:val="00C27D66"/>
    <w:rsid w:val="00C27EA6"/>
    <w:rsid w:val="00C27EAB"/>
    <w:rsid w:val="00C27EDF"/>
    <w:rsid w:val="00C27FB2"/>
    <w:rsid w:val="00C30023"/>
    <w:rsid w:val="00C3028D"/>
    <w:rsid w:val="00C3037C"/>
    <w:rsid w:val="00C305C3"/>
    <w:rsid w:val="00C30677"/>
    <w:rsid w:val="00C30813"/>
    <w:rsid w:val="00C30A00"/>
    <w:rsid w:val="00C30C04"/>
    <w:rsid w:val="00C30D10"/>
    <w:rsid w:val="00C30F22"/>
    <w:rsid w:val="00C31015"/>
    <w:rsid w:val="00C31414"/>
    <w:rsid w:val="00C314C7"/>
    <w:rsid w:val="00C315F5"/>
    <w:rsid w:val="00C31742"/>
    <w:rsid w:val="00C31939"/>
    <w:rsid w:val="00C31A9F"/>
    <w:rsid w:val="00C31C18"/>
    <w:rsid w:val="00C31CA4"/>
    <w:rsid w:val="00C31D34"/>
    <w:rsid w:val="00C31FCC"/>
    <w:rsid w:val="00C32023"/>
    <w:rsid w:val="00C32112"/>
    <w:rsid w:val="00C3224F"/>
    <w:rsid w:val="00C323BE"/>
    <w:rsid w:val="00C32433"/>
    <w:rsid w:val="00C3254D"/>
    <w:rsid w:val="00C325F5"/>
    <w:rsid w:val="00C32727"/>
    <w:rsid w:val="00C327ED"/>
    <w:rsid w:val="00C32A98"/>
    <w:rsid w:val="00C32C3B"/>
    <w:rsid w:val="00C32D84"/>
    <w:rsid w:val="00C32D85"/>
    <w:rsid w:val="00C32E09"/>
    <w:rsid w:val="00C32E78"/>
    <w:rsid w:val="00C32F87"/>
    <w:rsid w:val="00C32F8D"/>
    <w:rsid w:val="00C33194"/>
    <w:rsid w:val="00C3327A"/>
    <w:rsid w:val="00C3327F"/>
    <w:rsid w:val="00C33A7C"/>
    <w:rsid w:val="00C33A96"/>
    <w:rsid w:val="00C33C00"/>
    <w:rsid w:val="00C33F72"/>
    <w:rsid w:val="00C33FF2"/>
    <w:rsid w:val="00C341AB"/>
    <w:rsid w:val="00C3421F"/>
    <w:rsid w:val="00C3437F"/>
    <w:rsid w:val="00C344C9"/>
    <w:rsid w:val="00C34A5F"/>
    <w:rsid w:val="00C35172"/>
    <w:rsid w:val="00C3533D"/>
    <w:rsid w:val="00C35389"/>
    <w:rsid w:val="00C35675"/>
    <w:rsid w:val="00C3581D"/>
    <w:rsid w:val="00C35858"/>
    <w:rsid w:val="00C3591C"/>
    <w:rsid w:val="00C35A83"/>
    <w:rsid w:val="00C35B4C"/>
    <w:rsid w:val="00C35C76"/>
    <w:rsid w:val="00C35CB4"/>
    <w:rsid w:val="00C35E9C"/>
    <w:rsid w:val="00C35F45"/>
    <w:rsid w:val="00C36046"/>
    <w:rsid w:val="00C3609E"/>
    <w:rsid w:val="00C360CE"/>
    <w:rsid w:val="00C36117"/>
    <w:rsid w:val="00C3643C"/>
    <w:rsid w:val="00C365E4"/>
    <w:rsid w:val="00C3667D"/>
    <w:rsid w:val="00C36931"/>
    <w:rsid w:val="00C36949"/>
    <w:rsid w:val="00C36B6A"/>
    <w:rsid w:val="00C36B71"/>
    <w:rsid w:val="00C36D62"/>
    <w:rsid w:val="00C36D65"/>
    <w:rsid w:val="00C36D84"/>
    <w:rsid w:val="00C36DB6"/>
    <w:rsid w:val="00C36E06"/>
    <w:rsid w:val="00C36E4B"/>
    <w:rsid w:val="00C36F95"/>
    <w:rsid w:val="00C37328"/>
    <w:rsid w:val="00C3743A"/>
    <w:rsid w:val="00C37475"/>
    <w:rsid w:val="00C374A4"/>
    <w:rsid w:val="00C375F7"/>
    <w:rsid w:val="00C37663"/>
    <w:rsid w:val="00C377B6"/>
    <w:rsid w:val="00C37870"/>
    <w:rsid w:val="00C37C2B"/>
    <w:rsid w:val="00C37C5D"/>
    <w:rsid w:val="00C37C8A"/>
    <w:rsid w:val="00C37D8C"/>
    <w:rsid w:val="00C37DDB"/>
    <w:rsid w:val="00C37E51"/>
    <w:rsid w:val="00C37F1E"/>
    <w:rsid w:val="00C40350"/>
    <w:rsid w:val="00C40642"/>
    <w:rsid w:val="00C408F5"/>
    <w:rsid w:val="00C4094D"/>
    <w:rsid w:val="00C40C81"/>
    <w:rsid w:val="00C4128F"/>
    <w:rsid w:val="00C4137A"/>
    <w:rsid w:val="00C416F6"/>
    <w:rsid w:val="00C417DC"/>
    <w:rsid w:val="00C41870"/>
    <w:rsid w:val="00C41957"/>
    <w:rsid w:val="00C41D72"/>
    <w:rsid w:val="00C41FB6"/>
    <w:rsid w:val="00C4201B"/>
    <w:rsid w:val="00C421B2"/>
    <w:rsid w:val="00C4226B"/>
    <w:rsid w:val="00C42328"/>
    <w:rsid w:val="00C425A9"/>
    <w:rsid w:val="00C42808"/>
    <w:rsid w:val="00C4284B"/>
    <w:rsid w:val="00C4286A"/>
    <w:rsid w:val="00C4298A"/>
    <w:rsid w:val="00C429B6"/>
    <w:rsid w:val="00C42B1F"/>
    <w:rsid w:val="00C42B52"/>
    <w:rsid w:val="00C42B69"/>
    <w:rsid w:val="00C42D10"/>
    <w:rsid w:val="00C42DF4"/>
    <w:rsid w:val="00C42F9A"/>
    <w:rsid w:val="00C43390"/>
    <w:rsid w:val="00C4345D"/>
    <w:rsid w:val="00C4356D"/>
    <w:rsid w:val="00C43773"/>
    <w:rsid w:val="00C43814"/>
    <w:rsid w:val="00C43855"/>
    <w:rsid w:val="00C43CBC"/>
    <w:rsid w:val="00C43DE8"/>
    <w:rsid w:val="00C43E7E"/>
    <w:rsid w:val="00C440E4"/>
    <w:rsid w:val="00C4410F"/>
    <w:rsid w:val="00C44148"/>
    <w:rsid w:val="00C442A5"/>
    <w:rsid w:val="00C44327"/>
    <w:rsid w:val="00C443E9"/>
    <w:rsid w:val="00C4443E"/>
    <w:rsid w:val="00C445AB"/>
    <w:rsid w:val="00C4472E"/>
    <w:rsid w:val="00C447E7"/>
    <w:rsid w:val="00C44802"/>
    <w:rsid w:val="00C44A36"/>
    <w:rsid w:val="00C44BC6"/>
    <w:rsid w:val="00C44C12"/>
    <w:rsid w:val="00C44C61"/>
    <w:rsid w:val="00C44C6B"/>
    <w:rsid w:val="00C44C74"/>
    <w:rsid w:val="00C44E9F"/>
    <w:rsid w:val="00C4501F"/>
    <w:rsid w:val="00C452B6"/>
    <w:rsid w:val="00C4559A"/>
    <w:rsid w:val="00C457A2"/>
    <w:rsid w:val="00C457BA"/>
    <w:rsid w:val="00C4581D"/>
    <w:rsid w:val="00C45D9B"/>
    <w:rsid w:val="00C45DB6"/>
    <w:rsid w:val="00C45E36"/>
    <w:rsid w:val="00C461C9"/>
    <w:rsid w:val="00C46219"/>
    <w:rsid w:val="00C4644B"/>
    <w:rsid w:val="00C46668"/>
    <w:rsid w:val="00C467DA"/>
    <w:rsid w:val="00C46E03"/>
    <w:rsid w:val="00C46ED6"/>
    <w:rsid w:val="00C474E7"/>
    <w:rsid w:val="00C4754C"/>
    <w:rsid w:val="00C475B5"/>
    <w:rsid w:val="00C4779C"/>
    <w:rsid w:val="00C479A5"/>
    <w:rsid w:val="00C479BC"/>
    <w:rsid w:val="00C47A9B"/>
    <w:rsid w:val="00C47AE4"/>
    <w:rsid w:val="00C504F9"/>
    <w:rsid w:val="00C508F6"/>
    <w:rsid w:val="00C5096C"/>
    <w:rsid w:val="00C509AB"/>
    <w:rsid w:val="00C50BF8"/>
    <w:rsid w:val="00C50DCE"/>
    <w:rsid w:val="00C50DFE"/>
    <w:rsid w:val="00C50F00"/>
    <w:rsid w:val="00C50F05"/>
    <w:rsid w:val="00C51036"/>
    <w:rsid w:val="00C513E7"/>
    <w:rsid w:val="00C5148E"/>
    <w:rsid w:val="00C51670"/>
    <w:rsid w:val="00C51DA8"/>
    <w:rsid w:val="00C51FA0"/>
    <w:rsid w:val="00C52005"/>
    <w:rsid w:val="00C5203F"/>
    <w:rsid w:val="00C520FE"/>
    <w:rsid w:val="00C52194"/>
    <w:rsid w:val="00C523AB"/>
    <w:rsid w:val="00C524F4"/>
    <w:rsid w:val="00C5253A"/>
    <w:rsid w:val="00C528EE"/>
    <w:rsid w:val="00C52904"/>
    <w:rsid w:val="00C52D81"/>
    <w:rsid w:val="00C52F3D"/>
    <w:rsid w:val="00C52F54"/>
    <w:rsid w:val="00C53139"/>
    <w:rsid w:val="00C53251"/>
    <w:rsid w:val="00C5325A"/>
    <w:rsid w:val="00C532F1"/>
    <w:rsid w:val="00C53778"/>
    <w:rsid w:val="00C53796"/>
    <w:rsid w:val="00C53927"/>
    <w:rsid w:val="00C53BD9"/>
    <w:rsid w:val="00C53CDC"/>
    <w:rsid w:val="00C53D58"/>
    <w:rsid w:val="00C53DEF"/>
    <w:rsid w:val="00C5417F"/>
    <w:rsid w:val="00C541B6"/>
    <w:rsid w:val="00C542C9"/>
    <w:rsid w:val="00C544A4"/>
    <w:rsid w:val="00C544DB"/>
    <w:rsid w:val="00C544FA"/>
    <w:rsid w:val="00C546AD"/>
    <w:rsid w:val="00C54750"/>
    <w:rsid w:val="00C5477E"/>
    <w:rsid w:val="00C5479E"/>
    <w:rsid w:val="00C547CA"/>
    <w:rsid w:val="00C5484F"/>
    <w:rsid w:val="00C54915"/>
    <w:rsid w:val="00C54DB3"/>
    <w:rsid w:val="00C54E05"/>
    <w:rsid w:val="00C54EB0"/>
    <w:rsid w:val="00C54F74"/>
    <w:rsid w:val="00C5508B"/>
    <w:rsid w:val="00C5519C"/>
    <w:rsid w:val="00C55554"/>
    <w:rsid w:val="00C5578C"/>
    <w:rsid w:val="00C55B0E"/>
    <w:rsid w:val="00C55BF0"/>
    <w:rsid w:val="00C55EDC"/>
    <w:rsid w:val="00C56024"/>
    <w:rsid w:val="00C56194"/>
    <w:rsid w:val="00C561E6"/>
    <w:rsid w:val="00C562D8"/>
    <w:rsid w:val="00C565CB"/>
    <w:rsid w:val="00C566A9"/>
    <w:rsid w:val="00C56A3A"/>
    <w:rsid w:val="00C56ACD"/>
    <w:rsid w:val="00C56DD3"/>
    <w:rsid w:val="00C56DD5"/>
    <w:rsid w:val="00C56DE2"/>
    <w:rsid w:val="00C5711F"/>
    <w:rsid w:val="00C573E8"/>
    <w:rsid w:val="00C5749E"/>
    <w:rsid w:val="00C5768D"/>
    <w:rsid w:val="00C577F1"/>
    <w:rsid w:val="00C57A34"/>
    <w:rsid w:val="00C57C8C"/>
    <w:rsid w:val="00C57D6B"/>
    <w:rsid w:val="00C57E69"/>
    <w:rsid w:val="00C57EB3"/>
    <w:rsid w:val="00C57F17"/>
    <w:rsid w:val="00C57F55"/>
    <w:rsid w:val="00C57FAE"/>
    <w:rsid w:val="00C57FEF"/>
    <w:rsid w:val="00C6003D"/>
    <w:rsid w:val="00C6009B"/>
    <w:rsid w:val="00C600F5"/>
    <w:rsid w:val="00C601A8"/>
    <w:rsid w:val="00C602CD"/>
    <w:rsid w:val="00C603AA"/>
    <w:rsid w:val="00C6042E"/>
    <w:rsid w:val="00C60484"/>
    <w:rsid w:val="00C60499"/>
    <w:rsid w:val="00C607A8"/>
    <w:rsid w:val="00C60813"/>
    <w:rsid w:val="00C6086F"/>
    <w:rsid w:val="00C608E9"/>
    <w:rsid w:val="00C60963"/>
    <w:rsid w:val="00C60DEF"/>
    <w:rsid w:val="00C60E19"/>
    <w:rsid w:val="00C60E8F"/>
    <w:rsid w:val="00C60EA5"/>
    <w:rsid w:val="00C60EDE"/>
    <w:rsid w:val="00C60F14"/>
    <w:rsid w:val="00C61023"/>
    <w:rsid w:val="00C6132D"/>
    <w:rsid w:val="00C614A9"/>
    <w:rsid w:val="00C616BE"/>
    <w:rsid w:val="00C617F0"/>
    <w:rsid w:val="00C617F1"/>
    <w:rsid w:val="00C6183B"/>
    <w:rsid w:val="00C61AB8"/>
    <w:rsid w:val="00C61B44"/>
    <w:rsid w:val="00C61DC0"/>
    <w:rsid w:val="00C61E64"/>
    <w:rsid w:val="00C6203C"/>
    <w:rsid w:val="00C626A2"/>
    <w:rsid w:val="00C62762"/>
    <w:rsid w:val="00C62A5E"/>
    <w:rsid w:val="00C62A6C"/>
    <w:rsid w:val="00C62DF6"/>
    <w:rsid w:val="00C6334F"/>
    <w:rsid w:val="00C633D3"/>
    <w:rsid w:val="00C63583"/>
    <w:rsid w:val="00C63635"/>
    <w:rsid w:val="00C63F71"/>
    <w:rsid w:val="00C64027"/>
    <w:rsid w:val="00C64158"/>
    <w:rsid w:val="00C64177"/>
    <w:rsid w:val="00C642A2"/>
    <w:rsid w:val="00C646CE"/>
    <w:rsid w:val="00C647F6"/>
    <w:rsid w:val="00C64944"/>
    <w:rsid w:val="00C64A69"/>
    <w:rsid w:val="00C64AFD"/>
    <w:rsid w:val="00C64E33"/>
    <w:rsid w:val="00C64F14"/>
    <w:rsid w:val="00C650E6"/>
    <w:rsid w:val="00C6516F"/>
    <w:rsid w:val="00C657ED"/>
    <w:rsid w:val="00C65841"/>
    <w:rsid w:val="00C65A0C"/>
    <w:rsid w:val="00C65C17"/>
    <w:rsid w:val="00C65CB3"/>
    <w:rsid w:val="00C65DC4"/>
    <w:rsid w:val="00C65DCF"/>
    <w:rsid w:val="00C65E16"/>
    <w:rsid w:val="00C65F34"/>
    <w:rsid w:val="00C661AE"/>
    <w:rsid w:val="00C66212"/>
    <w:rsid w:val="00C663B9"/>
    <w:rsid w:val="00C667E6"/>
    <w:rsid w:val="00C66865"/>
    <w:rsid w:val="00C66926"/>
    <w:rsid w:val="00C66AEE"/>
    <w:rsid w:val="00C66CC1"/>
    <w:rsid w:val="00C671B5"/>
    <w:rsid w:val="00C67327"/>
    <w:rsid w:val="00C6737E"/>
    <w:rsid w:val="00C674BF"/>
    <w:rsid w:val="00C6753E"/>
    <w:rsid w:val="00C676B3"/>
    <w:rsid w:val="00C67B66"/>
    <w:rsid w:val="00C70019"/>
    <w:rsid w:val="00C70090"/>
    <w:rsid w:val="00C7038F"/>
    <w:rsid w:val="00C703A3"/>
    <w:rsid w:val="00C70411"/>
    <w:rsid w:val="00C70425"/>
    <w:rsid w:val="00C70452"/>
    <w:rsid w:val="00C705F8"/>
    <w:rsid w:val="00C7067D"/>
    <w:rsid w:val="00C70BEB"/>
    <w:rsid w:val="00C70BF4"/>
    <w:rsid w:val="00C70CD1"/>
    <w:rsid w:val="00C70FA3"/>
    <w:rsid w:val="00C71210"/>
    <w:rsid w:val="00C71215"/>
    <w:rsid w:val="00C71300"/>
    <w:rsid w:val="00C7138D"/>
    <w:rsid w:val="00C715CF"/>
    <w:rsid w:val="00C71635"/>
    <w:rsid w:val="00C71883"/>
    <w:rsid w:val="00C71DE9"/>
    <w:rsid w:val="00C71F01"/>
    <w:rsid w:val="00C7248D"/>
    <w:rsid w:val="00C727CE"/>
    <w:rsid w:val="00C728B8"/>
    <w:rsid w:val="00C72B22"/>
    <w:rsid w:val="00C72CCB"/>
    <w:rsid w:val="00C73190"/>
    <w:rsid w:val="00C7322F"/>
    <w:rsid w:val="00C7356E"/>
    <w:rsid w:val="00C736A4"/>
    <w:rsid w:val="00C736F9"/>
    <w:rsid w:val="00C73B9D"/>
    <w:rsid w:val="00C73C41"/>
    <w:rsid w:val="00C73CE9"/>
    <w:rsid w:val="00C73E14"/>
    <w:rsid w:val="00C74008"/>
    <w:rsid w:val="00C74063"/>
    <w:rsid w:val="00C74082"/>
    <w:rsid w:val="00C740B8"/>
    <w:rsid w:val="00C74420"/>
    <w:rsid w:val="00C74566"/>
    <w:rsid w:val="00C745CC"/>
    <w:rsid w:val="00C74691"/>
    <w:rsid w:val="00C74817"/>
    <w:rsid w:val="00C748B6"/>
    <w:rsid w:val="00C74923"/>
    <w:rsid w:val="00C74A3E"/>
    <w:rsid w:val="00C74AAF"/>
    <w:rsid w:val="00C74BD2"/>
    <w:rsid w:val="00C752A3"/>
    <w:rsid w:val="00C752CA"/>
    <w:rsid w:val="00C75391"/>
    <w:rsid w:val="00C75651"/>
    <w:rsid w:val="00C75AE1"/>
    <w:rsid w:val="00C75EEA"/>
    <w:rsid w:val="00C760F5"/>
    <w:rsid w:val="00C7614B"/>
    <w:rsid w:val="00C76184"/>
    <w:rsid w:val="00C761DA"/>
    <w:rsid w:val="00C76262"/>
    <w:rsid w:val="00C764A9"/>
    <w:rsid w:val="00C768BF"/>
    <w:rsid w:val="00C76A14"/>
    <w:rsid w:val="00C76ABB"/>
    <w:rsid w:val="00C76BDB"/>
    <w:rsid w:val="00C76F6C"/>
    <w:rsid w:val="00C77015"/>
    <w:rsid w:val="00C770AB"/>
    <w:rsid w:val="00C771A4"/>
    <w:rsid w:val="00C771CF"/>
    <w:rsid w:val="00C77A3F"/>
    <w:rsid w:val="00C77B21"/>
    <w:rsid w:val="00C77BAC"/>
    <w:rsid w:val="00C801CD"/>
    <w:rsid w:val="00C80330"/>
    <w:rsid w:val="00C80922"/>
    <w:rsid w:val="00C80E13"/>
    <w:rsid w:val="00C80E2F"/>
    <w:rsid w:val="00C81163"/>
    <w:rsid w:val="00C81264"/>
    <w:rsid w:val="00C81369"/>
    <w:rsid w:val="00C8183B"/>
    <w:rsid w:val="00C81949"/>
    <w:rsid w:val="00C81AF3"/>
    <w:rsid w:val="00C81DD9"/>
    <w:rsid w:val="00C81FB4"/>
    <w:rsid w:val="00C821C6"/>
    <w:rsid w:val="00C821F1"/>
    <w:rsid w:val="00C8221E"/>
    <w:rsid w:val="00C82326"/>
    <w:rsid w:val="00C8239F"/>
    <w:rsid w:val="00C8284F"/>
    <w:rsid w:val="00C82889"/>
    <w:rsid w:val="00C82D6C"/>
    <w:rsid w:val="00C83114"/>
    <w:rsid w:val="00C831EA"/>
    <w:rsid w:val="00C832B1"/>
    <w:rsid w:val="00C833C6"/>
    <w:rsid w:val="00C834BE"/>
    <w:rsid w:val="00C835DC"/>
    <w:rsid w:val="00C8366E"/>
    <w:rsid w:val="00C83715"/>
    <w:rsid w:val="00C8383D"/>
    <w:rsid w:val="00C83F76"/>
    <w:rsid w:val="00C8416A"/>
    <w:rsid w:val="00C848AF"/>
    <w:rsid w:val="00C84BD9"/>
    <w:rsid w:val="00C84BF0"/>
    <w:rsid w:val="00C84BFB"/>
    <w:rsid w:val="00C850F0"/>
    <w:rsid w:val="00C85233"/>
    <w:rsid w:val="00C85283"/>
    <w:rsid w:val="00C852B9"/>
    <w:rsid w:val="00C852CF"/>
    <w:rsid w:val="00C852EC"/>
    <w:rsid w:val="00C8548E"/>
    <w:rsid w:val="00C858CA"/>
    <w:rsid w:val="00C85A13"/>
    <w:rsid w:val="00C85A6C"/>
    <w:rsid w:val="00C85B40"/>
    <w:rsid w:val="00C85B51"/>
    <w:rsid w:val="00C85D3E"/>
    <w:rsid w:val="00C85E3B"/>
    <w:rsid w:val="00C85F0A"/>
    <w:rsid w:val="00C85F56"/>
    <w:rsid w:val="00C85FB1"/>
    <w:rsid w:val="00C8648A"/>
    <w:rsid w:val="00C8649D"/>
    <w:rsid w:val="00C869CD"/>
    <w:rsid w:val="00C86C68"/>
    <w:rsid w:val="00C86CFA"/>
    <w:rsid w:val="00C86EAC"/>
    <w:rsid w:val="00C86F42"/>
    <w:rsid w:val="00C870DD"/>
    <w:rsid w:val="00C8710A"/>
    <w:rsid w:val="00C871B1"/>
    <w:rsid w:val="00C87226"/>
    <w:rsid w:val="00C8728A"/>
    <w:rsid w:val="00C875D8"/>
    <w:rsid w:val="00C87C78"/>
    <w:rsid w:val="00C87F5E"/>
    <w:rsid w:val="00C9009B"/>
    <w:rsid w:val="00C90150"/>
    <w:rsid w:val="00C9047A"/>
    <w:rsid w:val="00C9096E"/>
    <w:rsid w:val="00C90ACC"/>
    <w:rsid w:val="00C90B52"/>
    <w:rsid w:val="00C90B73"/>
    <w:rsid w:val="00C90B90"/>
    <w:rsid w:val="00C90D5C"/>
    <w:rsid w:val="00C90E7F"/>
    <w:rsid w:val="00C910FB"/>
    <w:rsid w:val="00C91257"/>
    <w:rsid w:val="00C91423"/>
    <w:rsid w:val="00C91491"/>
    <w:rsid w:val="00C91572"/>
    <w:rsid w:val="00C91644"/>
    <w:rsid w:val="00C91A63"/>
    <w:rsid w:val="00C91D68"/>
    <w:rsid w:val="00C91DC8"/>
    <w:rsid w:val="00C9226B"/>
    <w:rsid w:val="00C928D1"/>
    <w:rsid w:val="00C92E22"/>
    <w:rsid w:val="00C92F89"/>
    <w:rsid w:val="00C9312F"/>
    <w:rsid w:val="00C93291"/>
    <w:rsid w:val="00C93439"/>
    <w:rsid w:val="00C93497"/>
    <w:rsid w:val="00C93523"/>
    <w:rsid w:val="00C93A98"/>
    <w:rsid w:val="00C93C14"/>
    <w:rsid w:val="00C93DDA"/>
    <w:rsid w:val="00C93E53"/>
    <w:rsid w:val="00C93E6A"/>
    <w:rsid w:val="00C93E86"/>
    <w:rsid w:val="00C93ECD"/>
    <w:rsid w:val="00C94403"/>
    <w:rsid w:val="00C9450E"/>
    <w:rsid w:val="00C94A04"/>
    <w:rsid w:val="00C94A1F"/>
    <w:rsid w:val="00C952BE"/>
    <w:rsid w:val="00C9532D"/>
    <w:rsid w:val="00C95367"/>
    <w:rsid w:val="00C95596"/>
    <w:rsid w:val="00C95617"/>
    <w:rsid w:val="00C95689"/>
    <w:rsid w:val="00C958C5"/>
    <w:rsid w:val="00C95A89"/>
    <w:rsid w:val="00C95D55"/>
    <w:rsid w:val="00C960D1"/>
    <w:rsid w:val="00C96179"/>
    <w:rsid w:val="00C96435"/>
    <w:rsid w:val="00C964E8"/>
    <w:rsid w:val="00C9666B"/>
    <w:rsid w:val="00C96AE2"/>
    <w:rsid w:val="00C96B56"/>
    <w:rsid w:val="00C96CD5"/>
    <w:rsid w:val="00C96D39"/>
    <w:rsid w:val="00C96F4B"/>
    <w:rsid w:val="00C96FF6"/>
    <w:rsid w:val="00C973A8"/>
    <w:rsid w:val="00C975B9"/>
    <w:rsid w:val="00C975D9"/>
    <w:rsid w:val="00C97771"/>
    <w:rsid w:val="00C97994"/>
    <w:rsid w:val="00C97D54"/>
    <w:rsid w:val="00C97EAA"/>
    <w:rsid w:val="00CA005D"/>
    <w:rsid w:val="00CA015E"/>
    <w:rsid w:val="00CA01EB"/>
    <w:rsid w:val="00CA069F"/>
    <w:rsid w:val="00CA0886"/>
    <w:rsid w:val="00CA091C"/>
    <w:rsid w:val="00CA0A60"/>
    <w:rsid w:val="00CA0A6A"/>
    <w:rsid w:val="00CA0B81"/>
    <w:rsid w:val="00CA0E68"/>
    <w:rsid w:val="00CA105B"/>
    <w:rsid w:val="00CA128B"/>
    <w:rsid w:val="00CA1425"/>
    <w:rsid w:val="00CA1779"/>
    <w:rsid w:val="00CA1857"/>
    <w:rsid w:val="00CA1925"/>
    <w:rsid w:val="00CA21A7"/>
    <w:rsid w:val="00CA21C0"/>
    <w:rsid w:val="00CA2205"/>
    <w:rsid w:val="00CA227C"/>
    <w:rsid w:val="00CA2405"/>
    <w:rsid w:val="00CA245D"/>
    <w:rsid w:val="00CA2580"/>
    <w:rsid w:val="00CA2944"/>
    <w:rsid w:val="00CA298D"/>
    <w:rsid w:val="00CA2BC8"/>
    <w:rsid w:val="00CA2D58"/>
    <w:rsid w:val="00CA2FCF"/>
    <w:rsid w:val="00CA2FD6"/>
    <w:rsid w:val="00CA2FE5"/>
    <w:rsid w:val="00CA3006"/>
    <w:rsid w:val="00CA30C4"/>
    <w:rsid w:val="00CA30F4"/>
    <w:rsid w:val="00CA3178"/>
    <w:rsid w:val="00CA3208"/>
    <w:rsid w:val="00CA346B"/>
    <w:rsid w:val="00CA34DD"/>
    <w:rsid w:val="00CA34F9"/>
    <w:rsid w:val="00CA35EA"/>
    <w:rsid w:val="00CA35EC"/>
    <w:rsid w:val="00CA36A0"/>
    <w:rsid w:val="00CA37F9"/>
    <w:rsid w:val="00CA3810"/>
    <w:rsid w:val="00CA39D6"/>
    <w:rsid w:val="00CA3DB8"/>
    <w:rsid w:val="00CA3F94"/>
    <w:rsid w:val="00CA41EF"/>
    <w:rsid w:val="00CA42FA"/>
    <w:rsid w:val="00CA4B0E"/>
    <w:rsid w:val="00CA4C5F"/>
    <w:rsid w:val="00CA4CA9"/>
    <w:rsid w:val="00CA4D4B"/>
    <w:rsid w:val="00CA4E45"/>
    <w:rsid w:val="00CA4E8E"/>
    <w:rsid w:val="00CA4FE3"/>
    <w:rsid w:val="00CA4FFA"/>
    <w:rsid w:val="00CA500E"/>
    <w:rsid w:val="00CA50B7"/>
    <w:rsid w:val="00CA51D8"/>
    <w:rsid w:val="00CA536F"/>
    <w:rsid w:val="00CA53C6"/>
    <w:rsid w:val="00CA54AC"/>
    <w:rsid w:val="00CA5746"/>
    <w:rsid w:val="00CA5812"/>
    <w:rsid w:val="00CA5BE0"/>
    <w:rsid w:val="00CA5CBE"/>
    <w:rsid w:val="00CA5E98"/>
    <w:rsid w:val="00CA65B8"/>
    <w:rsid w:val="00CA66B9"/>
    <w:rsid w:val="00CA6CA1"/>
    <w:rsid w:val="00CA6D27"/>
    <w:rsid w:val="00CA6D96"/>
    <w:rsid w:val="00CA6E78"/>
    <w:rsid w:val="00CA70AF"/>
    <w:rsid w:val="00CA70E9"/>
    <w:rsid w:val="00CA7168"/>
    <w:rsid w:val="00CA7230"/>
    <w:rsid w:val="00CA7B62"/>
    <w:rsid w:val="00CA7BCB"/>
    <w:rsid w:val="00CA7BFB"/>
    <w:rsid w:val="00CA7D27"/>
    <w:rsid w:val="00CA7D5F"/>
    <w:rsid w:val="00CA7ED2"/>
    <w:rsid w:val="00CA7F73"/>
    <w:rsid w:val="00CB00E6"/>
    <w:rsid w:val="00CB01CA"/>
    <w:rsid w:val="00CB02E5"/>
    <w:rsid w:val="00CB05BB"/>
    <w:rsid w:val="00CB0676"/>
    <w:rsid w:val="00CB0737"/>
    <w:rsid w:val="00CB0742"/>
    <w:rsid w:val="00CB0A18"/>
    <w:rsid w:val="00CB0BBE"/>
    <w:rsid w:val="00CB0D60"/>
    <w:rsid w:val="00CB0ED2"/>
    <w:rsid w:val="00CB1462"/>
    <w:rsid w:val="00CB147D"/>
    <w:rsid w:val="00CB158F"/>
    <w:rsid w:val="00CB1618"/>
    <w:rsid w:val="00CB17EE"/>
    <w:rsid w:val="00CB1832"/>
    <w:rsid w:val="00CB1834"/>
    <w:rsid w:val="00CB191A"/>
    <w:rsid w:val="00CB1C8D"/>
    <w:rsid w:val="00CB205C"/>
    <w:rsid w:val="00CB2142"/>
    <w:rsid w:val="00CB223A"/>
    <w:rsid w:val="00CB2251"/>
    <w:rsid w:val="00CB22CC"/>
    <w:rsid w:val="00CB2338"/>
    <w:rsid w:val="00CB23CB"/>
    <w:rsid w:val="00CB2462"/>
    <w:rsid w:val="00CB2501"/>
    <w:rsid w:val="00CB2535"/>
    <w:rsid w:val="00CB2554"/>
    <w:rsid w:val="00CB25FF"/>
    <w:rsid w:val="00CB2745"/>
    <w:rsid w:val="00CB28C2"/>
    <w:rsid w:val="00CB2A12"/>
    <w:rsid w:val="00CB2A14"/>
    <w:rsid w:val="00CB2AD1"/>
    <w:rsid w:val="00CB2B3B"/>
    <w:rsid w:val="00CB2C51"/>
    <w:rsid w:val="00CB2EFB"/>
    <w:rsid w:val="00CB3040"/>
    <w:rsid w:val="00CB31B6"/>
    <w:rsid w:val="00CB31BE"/>
    <w:rsid w:val="00CB33B9"/>
    <w:rsid w:val="00CB36F2"/>
    <w:rsid w:val="00CB3813"/>
    <w:rsid w:val="00CB3822"/>
    <w:rsid w:val="00CB383B"/>
    <w:rsid w:val="00CB387A"/>
    <w:rsid w:val="00CB3AE4"/>
    <w:rsid w:val="00CB3BDC"/>
    <w:rsid w:val="00CB3D4E"/>
    <w:rsid w:val="00CB3EDD"/>
    <w:rsid w:val="00CB3F82"/>
    <w:rsid w:val="00CB40D1"/>
    <w:rsid w:val="00CB4184"/>
    <w:rsid w:val="00CB42CA"/>
    <w:rsid w:val="00CB4362"/>
    <w:rsid w:val="00CB4536"/>
    <w:rsid w:val="00CB4B1C"/>
    <w:rsid w:val="00CB4C05"/>
    <w:rsid w:val="00CB4E5D"/>
    <w:rsid w:val="00CB54F5"/>
    <w:rsid w:val="00CB5627"/>
    <w:rsid w:val="00CB5A68"/>
    <w:rsid w:val="00CB5AEE"/>
    <w:rsid w:val="00CB5B48"/>
    <w:rsid w:val="00CB5C42"/>
    <w:rsid w:val="00CB5CE5"/>
    <w:rsid w:val="00CB5D72"/>
    <w:rsid w:val="00CB5E34"/>
    <w:rsid w:val="00CB5FCE"/>
    <w:rsid w:val="00CB60EB"/>
    <w:rsid w:val="00CB61B7"/>
    <w:rsid w:val="00CB640F"/>
    <w:rsid w:val="00CB657A"/>
    <w:rsid w:val="00CB67EC"/>
    <w:rsid w:val="00CB68DE"/>
    <w:rsid w:val="00CB691F"/>
    <w:rsid w:val="00CB693D"/>
    <w:rsid w:val="00CB6967"/>
    <w:rsid w:val="00CB69CA"/>
    <w:rsid w:val="00CB6A44"/>
    <w:rsid w:val="00CB6ABB"/>
    <w:rsid w:val="00CB6C43"/>
    <w:rsid w:val="00CB6D1D"/>
    <w:rsid w:val="00CB6D8B"/>
    <w:rsid w:val="00CB6E56"/>
    <w:rsid w:val="00CB705D"/>
    <w:rsid w:val="00CB71B8"/>
    <w:rsid w:val="00CB740B"/>
    <w:rsid w:val="00CB75D9"/>
    <w:rsid w:val="00CB7709"/>
    <w:rsid w:val="00CB79DE"/>
    <w:rsid w:val="00CB7A13"/>
    <w:rsid w:val="00CB7A73"/>
    <w:rsid w:val="00CB7E31"/>
    <w:rsid w:val="00CC00D5"/>
    <w:rsid w:val="00CC012B"/>
    <w:rsid w:val="00CC029A"/>
    <w:rsid w:val="00CC0314"/>
    <w:rsid w:val="00CC070C"/>
    <w:rsid w:val="00CC08A7"/>
    <w:rsid w:val="00CC092F"/>
    <w:rsid w:val="00CC0DCA"/>
    <w:rsid w:val="00CC104D"/>
    <w:rsid w:val="00CC111E"/>
    <w:rsid w:val="00CC1603"/>
    <w:rsid w:val="00CC1687"/>
    <w:rsid w:val="00CC1828"/>
    <w:rsid w:val="00CC184B"/>
    <w:rsid w:val="00CC18E8"/>
    <w:rsid w:val="00CC1B36"/>
    <w:rsid w:val="00CC1C66"/>
    <w:rsid w:val="00CC1DDC"/>
    <w:rsid w:val="00CC2062"/>
    <w:rsid w:val="00CC2386"/>
    <w:rsid w:val="00CC24CB"/>
    <w:rsid w:val="00CC266D"/>
    <w:rsid w:val="00CC2963"/>
    <w:rsid w:val="00CC2AC9"/>
    <w:rsid w:val="00CC2AF0"/>
    <w:rsid w:val="00CC2DBE"/>
    <w:rsid w:val="00CC2FBF"/>
    <w:rsid w:val="00CC2FFD"/>
    <w:rsid w:val="00CC30B6"/>
    <w:rsid w:val="00CC3143"/>
    <w:rsid w:val="00CC322B"/>
    <w:rsid w:val="00CC32D8"/>
    <w:rsid w:val="00CC3481"/>
    <w:rsid w:val="00CC38B0"/>
    <w:rsid w:val="00CC39CE"/>
    <w:rsid w:val="00CC3A1D"/>
    <w:rsid w:val="00CC3B68"/>
    <w:rsid w:val="00CC3C0B"/>
    <w:rsid w:val="00CC3E3E"/>
    <w:rsid w:val="00CC3FE1"/>
    <w:rsid w:val="00CC4001"/>
    <w:rsid w:val="00CC40C6"/>
    <w:rsid w:val="00CC463F"/>
    <w:rsid w:val="00CC469A"/>
    <w:rsid w:val="00CC47DF"/>
    <w:rsid w:val="00CC4857"/>
    <w:rsid w:val="00CC48A0"/>
    <w:rsid w:val="00CC48DE"/>
    <w:rsid w:val="00CC4940"/>
    <w:rsid w:val="00CC495F"/>
    <w:rsid w:val="00CC4AD5"/>
    <w:rsid w:val="00CC4B36"/>
    <w:rsid w:val="00CC4B4C"/>
    <w:rsid w:val="00CC4C06"/>
    <w:rsid w:val="00CC4CB9"/>
    <w:rsid w:val="00CC52F7"/>
    <w:rsid w:val="00CC5412"/>
    <w:rsid w:val="00CC5506"/>
    <w:rsid w:val="00CC58EA"/>
    <w:rsid w:val="00CC5AA2"/>
    <w:rsid w:val="00CC5D47"/>
    <w:rsid w:val="00CC5EEC"/>
    <w:rsid w:val="00CC5FA6"/>
    <w:rsid w:val="00CC607B"/>
    <w:rsid w:val="00CC621A"/>
    <w:rsid w:val="00CC6285"/>
    <w:rsid w:val="00CC637F"/>
    <w:rsid w:val="00CC6522"/>
    <w:rsid w:val="00CC6749"/>
    <w:rsid w:val="00CC6752"/>
    <w:rsid w:val="00CC6823"/>
    <w:rsid w:val="00CC6835"/>
    <w:rsid w:val="00CC6B05"/>
    <w:rsid w:val="00CC6C8D"/>
    <w:rsid w:val="00CC6EEB"/>
    <w:rsid w:val="00CC741B"/>
    <w:rsid w:val="00CC777E"/>
    <w:rsid w:val="00CC78AC"/>
    <w:rsid w:val="00CC79C1"/>
    <w:rsid w:val="00CC7C21"/>
    <w:rsid w:val="00CC7DAF"/>
    <w:rsid w:val="00CC7E0B"/>
    <w:rsid w:val="00CC7FB2"/>
    <w:rsid w:val="00CD022E"/>
    <w:rsid w:val="00CD0460"/>
    <w:rsid w:val="00CD04AE"/>
    <w:rsid w:val="00CD04CA"/>
    <w:rsid w:val="00CD05EB"/>
    <w:rsid w:val="00CD0600"/>
    <w:rsid w:val="00CD0671"/>
    <w:rsid w:val="00CD083D"/>
    <w:rsid w:val="00CD0870"/>
    <w:rsid w:val="00CD09BB"/>
    <w:rsid w:val="00CD0A32"/>
    <w:rsid w:val="00CD0A8B"/>
    <w:rsid w:val="00CD0B89"/>
    <w:rsid w:val="00CD0D67"/>
    <w:rsid w:val="00CD0FDD"/>
    <w:rsid w:val="00CD1000"/>
    <w:rsid w:val="00CD1011"/>
    <w:rsid w:val="00CD1200"/>
    <w:rsid w:val="00CD1283"/>
    <w:rsid w:val="00CD12FD"/>
    <w:rsid w:val="00CD131D"/>
    <w:rsid w:val="00CD133F"/>
    <w:rsid w:val="00CD138C"/>
    <w:rsid w:val="00CD17F8"/>
    <w:rsid w:val="00CD199F"/>
    <w:rsid w:val="00CD19A9"/>
    <w:rsid w:val="00CD19F5"/>
    <w:rsid w:val="00CD1DED"/>
    <w:rsid w:val="00CD1E7B"/>
    <w:rsid w:val="00CD2048"/>
    <w:rsid w:val="00CD2112"/>
    <w:rsid w:val="00CD2226"/>
    <w:rsid w:val="00CD2496"/>
    <w:rsid w:val="00CD2558"/>
    <w:rsid w:val="00CD2854"/>
    <w:rsid w:val="00CD2ECD"/>
    <w:rsid w:val="00CD2FC6"/>
    <w:rsid w:val="00CD2FE3"/>
    <w:rsid w:val="00CD3051"/>
    <w:rsid w:val="00CD31B0"/>
    <w:rsid w:val="00CD321E"/>
    <w:rsid w:val="00CD32E3"/>
    <w:rsid w:val="00CD345E"/>
    <w:rsid w:val="00CD3528"/>
    <w:rsid w:val="00CD36C8"/>
    <w:rsid w:val="00CD36E0"/>
    <w:rsid w:val="00CD3953"/>
    <w:rsid w:val="00CD3B95"/>
    <w:rsid w:val="00CD3BBA"/>
    <w:rsid w:val="00CD3BE5"/>
    <w:rsid w:val="00CD3C76"/>
    <w:rsid w:val="00CD3E11"/>
    <w:rsid w:val="00CD4157"/>
    <w:rsid w:val="00CD42B4"/>
    <w:rsid w:val="00CD44D9"/>
    <w:rsid w:val="00CD4512"/>
    <w:rsid w:val="00CD45BA"/>
    <w:rsid w:val="00CD45FF"/>
    <w:rsid w:val="00CD4615"/>
    <w:rsid w:val="00CD4A59"/>
    <w:rsid w:val="00CD4AAA"/>
    <w:rsid w:val="00CD4C52"/>
    <w:rsid w:val="00CD4FAD"/>
    <w:rsid w:val="00CD4FED"/>
    <w:rsid w:val="00CD542F"/>
    <w:rsid w:val="00CD56F9"/>
    <w:rsid w:val="00CD58D8"/>
    <w:rsid w:val="00CD5D00"/>
    <w:rsid w:val="00CD5E19"/>
    <w:rsid w:val="00CD5E83"/>
    <w:rsid w:val="00CD5F88"/>
    <w:rsid w:val="00CD6235"/>
    <w:rsid w:val="00CD628A"/>
    <w:rsid w:val="00CD65A4"/>
    <w:rsid w:val="00CD67AA"/>
    <w:rsid w:val="00CD69E5"/>
    <w:rsid w:val="00CD6AA8"/>
    <w:rsid w:val="00CD6AF2"/>
    <w:rsid w:val="00CD6DBC"/>
    <w:rsid w:val="00CD6FE8"/>
    <w:rsid w:val="00CD6FF3"/>
    <w:rsid w:val="00CD719F"/>
    <w:rsid w:val="00CD71EE"/>
    <w:rsid w:val="00CD74C2"/>
    <w:rsid w:val="00CD7E86"/>
    <w:rsid w:val="00CD7EB6"/>
    <w:rsid w:val="00CE0364"/>
    <w:rsid w:val="00CE0423"/>
    <w:rsid w:val="00CE04BA"/>
    <w:rsid w:val="00CE0666"/>
    <w:rsid w:val="00CE07E3"/>
    <w:rsid w:val="00CE08A3"/>
    <w:rsid w:val="00CE0905"/>
    <w:rsid w:val="00CE0C37"/>
    <w:rsid w:val="00CE0F96"/>
    <w:rsid w:val="00CE1071"/>
    <w:rsid w:val="00CE1144"/>
    <w:rsid w:val="00CE136D"/>
    <w:rsid w:val="00CE1568"/>
    <w:rsid w:val="00CE180E"/>
    <w:rsid w:val="00CE192E"/>
    <w:rsid w:val="00CE1ABC"/>
    <w:rsid w:val="00CE1B5A"/>
    <w:rsid w:val="00CE1BE6"/>
    <w:rsid w:val="00CE1C15"/>
    <w:rsid w:val="00CE1DEF"/>
    <w:rsid w:val="00CE20A3"/>
    <w:rsid w:val="00CE20A8"/>
    <w:rsid w:val="00CE216C"/>
    <w:rsid w:val="00CE228C"/>
    <w:rsid w:val="00CE22B9"/>
    <w:rsid w:val="00CE2314"/>
    <w:rsid w:val="00CE2350"/>
    <w:rsid w:val="00CE2549"/>
    <w:rsid w:val="00CE26D1"/>
    <w:rsid w:val="00CE27A1"/>
    <w:rsid w:val="00CE28A9"/>
    <w:rsid w:val="00CE2946"/>
    <w:rsid w:val="00CE2A53"/>
    <w:rsid w:val="00CE2A81"/>
    <w:rsid w:val="00CE2C0A"/>
    <w:rsid w:val="00CE2D6E"/>
    <w:rsid w:val="00CE2EEE"/>
    <w:rsid w:val="00CE2FFA"/>
    <w:rsid w:val="00CE31F1"/>
    <w:rsid w:val="00CE31FD"/>
    <w:rsid w:val="00CE39A9"/>
    <w:rsid w:val="00CE3AE8"/>
    <w:rsid w:val="00CE3CDB"/>
    <w:rsid w:val="00CE415B"/>
    <w:rsid w:val="00CE41F6"/>
    <w:rsid w:val="00CE42AB"/>
    <w:rsid w:val="00CE4368"/>
    <w:rsid w:val="00CE4437"/>
    <w:rsid w:val="00CE47B2"/>
    <w:rsid w:val="00CE47FB"/>
    <w:rsid w:val="00CE4973"/>
    <w:rsid w:val="00CE4986"/>
    <w:rsid w:val="00CE4A22"/>
    <w:rsid w:val="00CE4AB3"/>
    <w:rsid w:val="00CE4BAE"/>
    <w:rsid w:val="00CE4C59"/>
    <w:rsid w:val="00CE4CBA"/>
    <w:rsid w:val="00CE4E36"/>
    <w:rsid w:val="00CE4F56"/>
    <w:rsid w:val="00CE50D3"/>
    <w:rsid w:val="00CE563D"/>
    <w:rsid w:val="00CE56BC"/>
    <w:rsid w:val="00CE586A"/>
    <w:rsid w:val="00CE59B1"/>
    <w:rsid w:val="00CE5BBE"/>
    <w:rsid w:val="00CE5C62"/>
    <w:rsid w:val="00CE5CBF"/>
    <w:rsid w:val="00CE5D3D"/>
    <w:rsid w:val="00CE6030"/>
    <w:rsid w:val="00CE606C"/>
    <w:rsid w:val="00CE60A6"/>
    <w:rsid w:val="00CE60B4"/>
    <w:rsid w:val="00CE6163"/>
    <w:rsid w:val="00CE622E"/>
    <w:rsid w:val="00CE64D4"/>
    <w:rsid w:val="00CE68CE"/>
    <w:rsid w:val="00CE6A5F"/>
    <w:rsid w:val="00CE6B03"/>
    <w:rsid w:val="00CE6B27"/>
    <w:rsid w:val="00CE6CE2"/>
    <w:rsid w:val="00CE6D9F"/>
    <w:rsid w:val="00CE6E6F"/>
    <w:rsid w:val="00CE6F26"/>
    <w:rsid w:val="00CE6FC3"/>
    <w:rsid w:val="00CE70D8"/>
    <w:rsid w:val="00CE7470"/>
    <w:rsid w:val="00CE7671"/>
    <w:rsid w:val="00CE79F6"/>
    <w:rsid w:val="00CE7A65"/>
    <w:rsid w:val="00CF00C1"/>
    <w:rsid w:val="00CF0256"/>
    <w:rsid w:val="00CF059A"/>
    <w:rsid w:val="00CF061B"/>
    <w:rsid w:val="00CF06A0"/>
    <w:rsid w:val="00CF070E"/>
    <w:rsid w:val="00CF075C"/>
    <w:rsid w:val="00CF07FA"/>
    <w:rsid w:val="00CF0965"/>
    <w:rsid w:val="00CF0A1B"/>
    <w:rsid w:val="00CF0B31"/>
    <w:rsid w:val="00CF0B81"/>
    <w:rsid w:val="00CF0CC1"/>
    <w:rsid w:val="00CF0D3D"/>
    <w:rsid w:val="00CF0D47"/>
    <w:rsid w:val="00CF0F54"/>
    <w:rsid w:val="00CF111E"/>
    <w:rsid w:val="00CF11C4"/>
    <w:rsid w:val="00CF127C"/>
    <w:rsid w:val="00CF138C"/>
    <w:rsid w:val="00CF13CC"/>
    <w:rsid w:val="00CF152C"/>
    <w:rsid w:val="00CF1ADE"/>
    <w:rsid w:val="00CF1BDA"/>
    <w:rsid w:val="00CF1C0F"/>
    <w:rsid w:val="00CF1EF0"/>
    <w:rsid w:val="00CF1F16"/>
    <w:rsid w:val="00CF2021"/>
    <w:rsid w:val="00CF2177"/>
    <w:rsid w:val="00CF2356"/>
    <w:rsid w:val="00CF23C6"/>
    <w:rsid w:val="00CF243E"/>
    <w:rsid w:val="00CF245C"/>
    <w:rsid w:val="00CF2490"/>
    <w:rsid w:val="00CF251C"/>
    <w:rsid w:val="00CF2769"/>
    <w:rsid w:val="00CF2852"/>
    <w:rsid w:val="00CF2AC2"/>
    <w:rsid w:val="00CF2B64"/>
    <w:rsid w:val="00CF2E6A"/>
    <w:rsid w:val="00CF309D"/>
    <w:rsid w:val="00CF338F"/>
    <w:rsid w:val="00CF34E0"/>
    <w:rsid w:val="00CF373B"/>
    <w:rsid w:val="00CF3806"/>
    <w:rsid w:val="00CF3AE9"/>
    <w:rsid w:val="00CF3C1D"/>
    <w:rsid w:val="00CF3C22"/>
    <w:rsid w:val="00CF3E5B"/>
    <w:rsid w:val="00CF3ED1"/>
    <w:rsid w:val="00CF3F97"/>
    <w:rsid w:val="00CF407C"/>
    <w:rsid w:val="00CF41DD"/>
    <w:rsid w:val="00CF4248"/>
    <w:rsid w:val="00CF42C8"/>
    <w:rsid w:val="00CF43A0"/>
    <w:rsid w:val="00CF440E"/>
    <w:rsid w:val="00CF450F"/>
    <w:rsid w:val="00CF48F8"/>
    <w:rsid w:val="00CF4A47"/>
    <w:rsid w:val="00CF4CDB"/>
    <w:rsid w:val="00CF5325"/>
    <w:rsid w:val="00CF539A"/>
    <w:rsid w:val="00CF5534"/>
    <w:rsid w:val="00CF555D"/>
    <w:rsid w:val="00CF5812"/>
    <w:rsid w:val="00CF5813"/>
    <w:rsid w:val="00CF5AAE"/>
    <w:rsid w:val="00CF5C53"/>
    <w:rsid w:val="00CF5C6F"/>
    <w:rsid w:val="00CF5D7B"/>
    <w:rsid w:val="00CF5DF2"/>
    <w:rsid w:val="00CF5E20"/>
    <w:rsid w:val="00CF5F75"/>
    <w:rsid w:val="00CF6067"/>
    <w:rsid w:val="00CF60CD"/>
    <w:rsid w:val="00CF62B2"/>
    <w:rsid w:val="00CF65BF"/>
    <w:rsid w:val="00CF6604"/>
    <w:rsid w:val="00CF69E5"/>
    <w:rsid w:val="00CF6D00"/>
    <w:rsid w:val="00CF6D4A"/>
    <w:rsid w:val="00CF6ED3"/>
    <w:rsid w:val="00CF712A"/>
    <w:rsid w:val="00CF7254"/>
    <w:rsid w:val="00CF726B"/>
    <w:rsid w:val="00CF7566"/>
    <w:rsid w:val="00CF75C1"/>
    <w:rsid w:val="00CF7605"/>
    <w:rsid w:val="00CF78CA"/>
    <w:rsid w:val="00CF7F96"/>
    <w:rsid w:val="00CF7FA4"/>
    <w:rsid w:val="00D0006C"/>
    <w:rsid w:val="00D00222"/>
    <w:rsid w:val="00D00399"/>
    <w:rsid w:val="00D007B8"/>
    <w:rsid w:val="00D00979"/>
    <w:rsid w:val="00D00DE0"/>
    <w:rsid w:val="00D00E83"/>
    <w:rsid w:val="00D00E88"/>
    <w:rsid w:val="00D011AD"/>
    <w:rsid w:val="00D016F8"/>
    <w:rsid w:val="00D01828"/>
    <w:rsid w:val="00D01863"/>
    <w:rsid w:val="00D01BAF"/>
    <w:rsid w:val="00D01BBE"/>
    <w:rsid w:val="00D01C6C"/>
    <w:rsid w:val="00D01CE3"/>
    <w:rsid w:val="00D01E05"/>
    <w:rsid w:val="00D021D5"/>
    <w:rsid w:val="00D0224F"/>
    <w:rsid w:val="00D02653"/>
    <w:rsid w:val="00D02B06"/>
    <w:rsid w:val="00D02B4E"/>
    <w:rsid w:val="00D02C4A"/>
    <w:rsid w:val="00D02EE3"/>
    <w:rsid w:val="00D03166"/>
    <w:rsid w:val="00D031C1"/>
    <w:rsid w:val="00D03322"/>
    <w:rsid w:val="00D033A4"/>
    <w:rsid w:val="00D03719"/>
    <w:rsid w:val="00D0381F"/>
    <w:rsid w:val="00D03905"/>
    <w:rsid w:val="00D0394B"/>
    <w:rsid w:val="00D03A9F"/>
    <w:rsid w:val="00D03AE0"/>
    <w:rsid w:val="00D03CBB"/>
    <w:rsid w:val="00D03F24"/>
    <w:rsid w:val="00D040AD"/>
    <w:rsid w:val="00D043FA"/>
    <w:rsid w:val="00D048D6"/>
    <w:rsid w:val="00D04AA7"/>
    <w:rsid w:val="00D04BAF"/>
    <w:rsid w:val="00D04C02"/>
    <w:rsid w:val="00D04D05"/>
    <w:rsid w:val="00D04DB6"/>
    <w:rsid w:val="00D04E7F"/>
    <w:rsid w:val="00D04F25"/>
    <w:rsid w:val="00D04F45"/>
    <w:rsid w:val="00D05024"/>
    <w:rsid w:val="00D051DB"/>
    <w:rsid w:val="00D05377"/>
    <w:rsid w:val="00D053CB"/>
    <w:rsid w:val="00D053EA"/>
    <w:rsid w:val="00D05536"/>
    <w:rsid w:val="00D05572"/>
    <w:rsid w:val="00D05595"/>
    <w:rsid w:val="00D05DB1"/>
    <w:rsid w:val="00D06184"/>
    <w:rsid w:val="00D0624A"/>
    <w:rsid w:val="00D06380"/>
    <w:rsid w:val="00D0640D"/>
    <w:rsid w:val="00D064EF"/>
    <w:rsid w:val="00D0656E"/>
    <w:rsid w:val="00D0665B"/>
    <w:rsid w:val="00D067DE"/>
    <w:rsid w:val="00D068FA"/>
    <w:rsid w:val="00D06A0F"/>
    <w:rsid w:val="00D06B83"/>
    <w:rsid w:val="00D06BF8"/>
    <w:rsid w:val="00D06CBB"/>
    <w:rsid w:val="00D06CEE"/>
    <w:rsid w:val="00D06F4F"/>
    <w:rsid w:val="00D06FCB"/>
    <w:rsid w:val="00D06FEF"/>
    <w:rsid w:val="00D073BB"/>
    <w:rsid w:val="00D074A2"/>
    <w:rsid w:val="00D07522"/>
    <w:rsid w:val="00D07641"/>
    <w:rsid w:val="00D07690"/>
    <w:rsid w:val="00D076CD"/>
    <w:rsid w:val="00D077E3"/>
    <w:rsid w:val="00D07A44"/>
    <w:rsid w:val="00D07B8F"/>
    <w:rsid w:val="00D07BE9"/>
    <w:rsid w:val="00D07C6A"/>
    <w:rsid w:val="00D07D8C"/>
    <w:rsid w:val="00D10090"/>
    <w:rsid w:val="00D10395"/>
    <w:rsid w:val="00D10567"/>
    <w:rsid w:val="00D105B5"/>
    <w:rsid w:val="00D1064D"/>
    <w:rsid w:val="00D10A21"/>
    <w:rsid w:val="00D10CD8"/>
    <w:rsid w:val="00D10E93"/>
    <w:rsid w:val="00D10F94"/>
    <w:rsid w:val="00D1102E"/>
    <w:rsid w:val="00D1120B"/>
    <w:rsid w:val="00D1140F"/>
    <w:rsid w:val="00D116BF"/>
    <w:rsid w:val="00D118F6"/>
    <w:rsid w:val="00D11932"/>
    <w:rsid w:val="00D119D3"/>
    <w:rsid w:val="00D11ACA"/>
    <w:rsid w:val="00D11C1A"/>
    <w:rsid w:val="00D11F37"/>
    <w:rsid w:val="00D11F61"/>
    <w:rsid w:val="00D12069"/>
    <w:rsid w:val="00D1234D"/>
    <w:rsid w:val="00D125E2"/>
    <w:rsid w:val="00D12991"/>
    <w:rsid w:val="00D12A6A"/>
    <w:rsid w:val="00D12BC6"/>
    <w:rsid w:val="00D1307D"/>
    <w:rsid w:val="00D13211"/>
    <w:rsid w:val="00D13272"/>
    <w:rsid w:val="00D1330F"/>
    <w:rsid w:val="00D133A8"/>
    <w:rsid w:val="00D134A7"/>
    <w:rsid w:val="00D13712"/>
    <w:rsid w:val="00D1380A"/>
    <w:rsid w:val="00D13BDF"/>
    <w:rsid w:val="00D13C37"/>
    <w:rsid w:val="00D13C91"/>
    <w:rsid w:val="00D13D67"/>
    <w:rsid w:val="00D13F48"/>
    <w:rsid w:val="00D140CE"/>
    <w:rsid w:val="00D14215"/>
    <w:rsid w:val="00D14231"/>
    <w:rsid w:val="00D14373"/>
    <w:rsid w:val="00D1443E"/>
    <w:rsid w:val="00D14695"/>
    <w:rsid w:val="00D148A0"/>
    <w:rsid w:val="00D149FA"/>
    <w:rsid w:val="00D14BBB"/>
    <w:rsid w:val="00D14F0A"/>
    <w:rsid w:val="00D152ED"/>
    <w:rsid w:val="00D153BC"/>
    <w:rsid w:val="00D15745"/>
    <w:rsid w:val="00D15892"/>
    <w:rsid w:val="00D15C50"/>
    <w:rsid w:val="00D16082"/>
    <w:rsid w:val="00D16148"/>
    <w:rsid w:val="00D161A6"/>
    <w:rsid w:val="00D161B2"/>
    <w:rsid w:val="00D162C8"/>
    <w:rsid w:val="00D16603"/>
    <w:rsid w:val="00D16728"/>
    <w:rsid w:val="00D1682B"/>
    <w:rsid w:val="00D16B53"/>
    <w:rsid w:val="00D16CE1"/>
    <w:rsid w:val="00D1702B"/>
    <w:rsid w:val="00D1704D"/>
    <w:rsid w:val="00D17061"/>
    <w:rsid w:val="00D17113"/>
    <w:rsid w:val="00D171A9"/>
    <w:rsid w:val="00D17538"/>
    <w:rsid w:val="00D17799"/>
    <w:rsid w:val="00D20091"/>
    <w:rsid w:val="00D2038D"/>
    <w:rsid w:val="00D203C2"/>
    <w:rsid w:val="00D20428"/>
    <w:rsid w:val="00D208DB"/>
    <w:rsid w:val="00D20ABF"/>
    <w:rsid w:val="00D20B28"/>
    <w:rsid w:val="00D20B56"/>
    <w:rsid w:val="00D20CBE"/>
    <w:rsid w:val="00D211B6"/>
    <w:rsid w:val="00D21697"/>
    <w:rsid w:val="00D218C8"/>
    <w:rsid w:val="00D21A8F"/>
    <w:rsid w:val="00D21CAE"/>
    <w:rsid w:val="00D21D10"/>
    <w:rsid w:val="00D21E4A"/>
    <w:rsid w:val="00D21F98"/>
    <w:rsid w:val="00D22112"/>
    <w:rsid w:val="00D22164"/>
    <w:rsid w:val="00D2221C"/>
    <w:rsid w:val="00D223C4"/>
    <w:rsid w:val="00D223EF"/>
    <w:rsid w:val="00D22495"/>
    <w:rsid w:val="00D22544"/>
    <w:rsid w:val="00D22616"/>
    <w:rsid w:val="00D2264C"/>
    <w:rsid w:val="00D226B0"/>
    <w:rsid w:val="00D2275E"/>
    <w:rsid w:val="00D228BD"/>
    <w:rsid w:val="00D22939"/>
    <w:rsid w:val="00D22968"/>
    <w:rsid w:val="00D229DC"/>
    <w:rsid w:val="00D22FF4"/>
    <w:rsid w:val="00D23144"/>
    <w:rsid w:val="00D233A8"/>
    <w:rsid w:val="00D23539"/>
    <w:rsid w:val="00D235E8"/>
    <w:rsid w:val="00D23915"/>
    <w:rsid w:val="00D239DE"/>
    <w:rsid w:val="00D23C71"/>
    <w:rsid w:val="00D23EA4"/>
    <w:rsid w:val="00D241E9"/>
    <w:rsid w:val="00D244FE"/>
    <w:rsid w:val="00D24573"/>
    <w:rsid w:val="00D24842"/>
    <w:rsid w:val="00D24BB1"/>
    <w:rsid w:val="00D24DC7"/>
    <w:rsid w:val="00D2538D"/>
    <w:rsid w:val="00D2569F"/>
    <w:rsid w:val="00D259F2"/>
    <w:rsid w:val="00D25AC6"/>
    <w:rsid w:val="00D25BF0"/>
    <w:rsid w:val="00D25E45"/>
    <w:rsid w:val="00D25F46"/>
    <w:rsid w:val="00D25F91"/>
    <w:rsid w:val="00D260E1"/>
    <w:rsid w:val="00D26294"/>
    <w:rsid w:val="00D264DF"/>
    <w:rsid w:val="00D266BB"/>
    <w:rsid w:val="00D266CC"/>
    <w:rsid w:val="00D267B5"/>
    <w:rsid w:val="00D26E37"/>
    <w:rsid w:val="00D26EB5"/>
    <w:rsid w:val="00D26FC4"/>
    <w:rsid w:val="00D27382"/>
    <w:rsid w:val="00D2745B"/>
    <w:rsid w:val="00D27690"/>
    <w:rsid w:val="00D27846"/>
    <w:rsid w:val="00D27B51"/>
    <w:rsid w:val="00D27C13"/>
    <w:rsid w:val="00D27D89"/>
    <w:rsid w:val="00D27FA3"/>
    <w:rsid w:val="00D3013A"/>
    <w:rsid w:val="00D303AE"/>
    <w:rsid w:val="00D30681"/>
    <w:rsid w:val="00D30934"/>
    <w:rsid w:val="00D30A77"/>
    <w:rsid w:val="00D30C90"/>
    <w:rsid w:val="00D30DBC"/>
    <w:rsid w:val="00D30EF7"/>
    <w:rsid w:val="00D311F3"/>
    <w:rsid w:val="00D312FA"/>
    <w:rsid w:val="00D31482"/>
    <w:rsid w:val="00D314E5"/>
    <w:rsid w:val="00D315A1"/>
    <w:rsid w:val="00D315F4"/>
    <w:rsid w:val="00D31701"/>
    <w:rsid w:val="00D3178F"/>
    <w:rsid w:val="00D31834"/>
    <w:rsid w:val="00D3186A"/>
    <w:rsid w:val="00D3187B"/>
    <w:rsid w:val="00D31B71"/>
    <w:rsid w:val="00D31B97"/>
    <w:rsid w:val="00D31BCA"/>
    <w:rsid w:val="00D31C28"/>
    <w:rsid w:val="00D31E19"/>
    <w:rsid w:val="00D326AB"/>
    <w:rsid w:val="00D329BD"/>
    <w:rsid w:val="00D329E1"/>
    <w:rsid w:val="00D32B5F"/>
    <w:rsid w:val="00D32C2A"/>
    <w:rsid w:val="00D32CBA"/>
    <w:rsid w:val="00D32EAE"/>
    <w:rsid w:val="00D3307D"/>
    <w:rsid w:val="00D33441"/>
    <w:rsid w:val="00D33601"/>
    <w:rsid w:val="00D33646"/>
    <w:rsid w:val="00D336B9"/>
    <w:rsid w:val="00D3375B"/>
    <w:rsid w:val="00D3376E"/>
    <w:rsid w:val="00D337DD"/>
    <w:rsid w:val="00D339D2"/>
    <w:rsid w:val="00D34377"/>
    <w:rsid w:val="00D346F2"/>
    <w:rsid w:val="00D3475B"/>
    <w:rsid w:val="00D347EF"/>
    <w:rsid w:val="00D348CF"/>
    <w:rsid w:val="00D34987"/>
    <w:rsid w:val="00D34EFE"/>
    <w:rsid w:val="00D34F94"/>
    <w:rsid w:val="00D34F97"/>
    <w:rsid w:val="00D3506E"/>
    <w:rsid w:val="00D351C8"/>
    <w:rsid w:val="00D352EE"/>
    <w:rsid w:val="00D35C05"/>
    <w:rsid w:val="00D35C53"/>
    <w:rsid w:val="00D35E03"/>
    <w:rsid w:val="00D35EAE"/>
    <w:rsid w:val="00D35F84"/>
    <w:rsid w:val="00D362B6"/>
    <w:rsid w:val="00D364C8"/>
    <w:rsid w:val="00D3655E"/>
    <w:rsid w:val="00D365C0"/>
    <w:rsid w:val="00D365CB"/>
    <w:rsid w:val="00D36633"/>
    <w:rsid w:val="00D3677F"/>
    <w:rsid w:val="00D36A87"/>
    <w:rsid w:val="00D36B87"/>
    <w:rsid w:val="00D36B98"/>
    <w:rsid w:val="00D36C10"/>
    <w:rsid w:val="00D36EF2"/>
    <w:rsid w:val="00D36F9D"/>
    <w:rsid w:val="00D36FBA"/>
    <w:rsid w:val="00D3713E"/>
    <w:rsid w:val="00D3760D"/>
    <w:rsid w:val="00D379B4"/>
    <w:rsid w:val="00D37AAF"/>
    <w:rsid w:val="00D37BE9"/>
    <w:rsid w:val="00D37DFB"/>
    <w:rsid w:val="00D4015B"/>
    <w:rsid w:val="00D40457"/>
    <w:rsid w:val="00D404A4"/>
    <w:rsid w:val="00D407DB"/>
    <w:rsid w:val="00D408E9"/>
    <w:rsid w:val="00D40B13"/>
    <w:rsid w:val="00D40BFE"/>
    <w:rsid w:val="00D40EEE"/>
    <w:rsid w:val="00D40F09"/>
    <w:rsid w:val="00D410F6"/>
    <w:rsid w:val="00D41174"/>
    <w:rsid w:val="00D414D3"/>
    <w:rsid w:val="00D417A9"/>
    <w:rsid w:val="00D41801"/>
    <w:rsid w:val="00D41A75"/>
    <w:rsid w:val="00D42229"/>
    <w:rsid w:val="00D42306"/>
    <w:rsid w:val="00D42349"/>
    <w:rsid w:val="00D423E9"/>
    <w:rsid w:val="00D424BA"/>
    <w:rsid w:val="00D424BF"/>
    <w:rsid w:val="00D424F5"/>
    <w:rsid w:val="00D425A4"/>
    <w:rsid w:val="00D42643"/>
    <w:rsid w:val="00D4290C"/>
    <w:rsid w:val="00D4297C"/>
    <w:rsid w:val="00D42F6A"/>
    <w:rsid w:val="00D42F77"/>
    <w:rsid w:val="00D42FF6"/>
    <w:rsid w:val="00D43195"/>
    <w:rsid w:val="00D432D2"/>
    <w:rsid w:val="00D43362"/>
    <w:rsid w:val="00D43539"/>
    <w:rsid w:val="00D4388B"/>
    <w:rsid w:val="00D438D6"/>
    <w:rsid w:val="00D439D2"/>
    <w:rsid w:val="00D43AC4"/>
    <w:rsid w:val="00D43C20"/>
    <w:rsid w:val="00D43E72"/>
    <w:rsid w:val="00D43E9C"/>
    <w:rsid w:val="00D44374"/>
    <w:rsid w:val="00D44404"/>
    <w:rsid w:val="00D4493B"/>
    <w:rsid w:val="00D44CB2"/>
    <w:rsid w:val="00D44DAC"/>
    <w:rsid w:val="00D44F5F"/>
    <w:rsid w:val="00D45044"/>
    <w:rsid w:val="00D454F4"/>
    <w:rsid w:val="00D4552D"/>
    <w:rsid w:val="00D45549"/>
    <w:rsid w:val="00D456C0"/>
    <w:rsid w:val="00D457F3"/>
    <w:rsid w:val="00D45825"/>
    <w:rsid w:val="00D45CCF"/>
    <w:rsid w:val="00D45D7C"/>
    <w:rsid w:val="00D45EA7"/>
    <w:rsid w:val="00D45F51"/>
    <w:rsid w:val="00D4625D"/>
    <w:rsid w:val="00D46310"/>
    <w:rsid w:val="00D46426"/>
    <w:rsid w:val="00D464DE"/>
    <w:rsid w:val="00D4659A"/>
    <w:rsid w:val="00D4673F"/>
    <w:rsid w:val="00D46932"/>
    <w:rsid w:val="00D46C7F"/>
    <w:rsid w:val="00D470AE"/>
    <w:rsid w:val="00D4727C"/>
    <w:rsid w:val="00D473A9"/>
    <w:rsid w:val="00D47410"/>
    <w:rsid w:val="00D475AA"/>
    <w:rsid w:val="00D47653"/>
    <w:rsid w:val="00D47778"/>
    <w:rsid w:val="00D47BEF"/>
    <w:rsid w:val="00D47D4D"/>
    <w:rsid w:val="00D47DD3"/>
    <w:rsid w:val="00D50157"/>
    <w:rsid w:val="00D501CC"/>
    <w:rsid w:val="00D50217"/>
    <w:rsid w:val="00D50621"/>
    <w:rsid w:val="00D506C8"/>
    <w:rsid w:val="00D50B6A"/>
    <w:rsid w:val="00D50C0E"/>
    <w:rsid w:val="00D50D08"/>
    <w:rsid w:val="00D50D80"/>
    <w:rsid w:val="00D50FDD"/>
    <w:rsid w:val="00D51034"/>
    <w:rsid w:val="00D51048"/>
    <w:rsid w:val="00D5104D"/>
    <w:rsid w:val="00D512C1"/>
    <w:rsid w:val="00D51466"/>
    <w:rsid w:val="00D518BA"/>
    <w:rsid w:val="00D519F2"/>
    <w:rsid w:val="00D51D85"/>
    <w:rsid w:val="00D51DBF"/>
    <w:rsid w:val="00D5200A"/>
    <w:rsid w:val="00D52043"/>
    <w:rsid w:val="00D52227"/>
    <w:rsid w:val="00D5229F"/>
    <w:rsid w:val="00D52322"/>
    <w:rsid w:val="00D52380"/>
    <w:rsid w:val="00D52476"/>
    <w:rsid w:val="00D524DB"/>
    <w:rsid w:val="00D52501"/>
    <w:rsid w:val="00D52531"/>
    <w:rsid w:val="00D528DA"/>
    <w:rsid w:val="00D5294E"/>
    <w:rsid w:val="00D52ACC"/>
    <w:rsid w:val="00D52AF1"/>
    <w:rsid w:val="00D52BF5"/>
    <w:rsid w:val="00D52C91"/>
    <w:rsid w:val="00D52EE0"/>
    <w:rsid w:val="00D52F01"/>
    <w:rsid w:val="00D52F36"/>
    <w:rsid w:val="00D53043"/>
    <w:rsid w:val="00D530C1"/>
    <w:rsid w:val="00D53101"/>
    <w:rsid w:val="00D5346C"/>
    <w:rsid w:val="00D534DC"/>
    <w:rsid w:val="00D53648"/>
    <w:rsid w:val="00D536BC"/>
    <w:rsid w:val="00D536F3"/>
    <w:rsid w:val="00D53713"/>
    <w:rsid w:val="00D53734"/>
    <w:rsid w:val="00D53803"/>
    <w:rsid w:val="00D53A31"/>
    <w:rsid w:val="00D53D34"/>
    <w:rsid w:val="00D53E53"/>
    <w:rsid w:val="00D53E94"/>
    <w:rsid w:val="00D53EF4"/>
    <w:rsid w:val="00D53F14"/>
    <w:rsid w:val="00D5431D"/>
    <w:rsid w:val="00D5445C"/>
    <w:rsid w:val="00D5445F"/>
    <w:rsid w:val="00D544CF"/>
    <w:rsid w:val="00D54525"/>
    <w:rsid w:val="00D54A6D"/>
    <w:rsid w:val="00D54CF0"/>
    <w:rsid w:val="00D54E03"/>
    <w:rsid w:val="00D54E70"/>
    <w:rsid w:val="00D54EAC"/>
    <w:rsid w:val="00D54EBE"/>
    <w:rsid w:val="00D54EC9"/>
    <w:rsid w:val="00D54FDD"/>
    <w:rsid w:val="00D55065"/>
    <w:rsid w:val="00D5509C"/>
    <w:rsid w:val="00D5520C"/>
    <w:rsid w:val="00D552E0"/>
    <w:rsid w:val="00D555B7"/>
    <w:rsid w:val="00D55694"/>
    <w:rsid w:val="00D55725"/>
    <w:rsid w:val="00D55762"/>
    <w:rsid w:val="00D5593E"/>
    <w:rsid w:val="00D5598B"/>
    <w:rsid w:val="00D55B36"/>
    <w:rsid w:val="00D55F1D"/>
    <w:rsid w:val="00D55FC6"/>
    <w:rsid w:val="00D56064"/>
    <w:rsid w:val="00D5625B"/>
    <w:rsid w:val="00D56306"/>
    <w:rsid w:val="00D5630D"/>
    <w:rsid w:val="00D5633C"/>
    <w:rsid w:val="00D56387"/>
    <w:rsid w:val="00D5660A"/>
    <w:rsid w:val="00D5670E"/>
    <w:rsid w:val="00D56735"/>
    <w:rsid w:val="00D5673D"/>
    <w:rsid w:val="00D56943"/>
    <w:rsid w:val="00D57012"/>
    <w:rsid w:val="00D570F3"/>
    <w:rsid w:val="00D57149"/>
    <w:rsid w:val="00D571C7"/>
    <w:rsid w:val="00D574A5"/>
    <w:rsid w:val="00D5771C"/>
    <w:rsid w:val="00D57804"/>
    <w:rsid w:val="00D57C08"/>
    <w:rsid w:val="00D57F01"/>
    <w:rsid w:val="00D60052"/>
    <w:rsid w:val="00D60145"/>
    <w:rsid w:val="00D6033F"/>
    <w:rsid w:val="00D603C1"/>
    <w:rsid w:val="00D604AE"/>
    <w:rsid w:val="00D605A6"/>
    <w:rsid w:val="00D606F2"/>
    <w:rsid w:val="00D607E6"/>
    <w:rsid w:val="00D60995"/>
    <w:rsid w:val="00D60B3C"/>
    <w:rsid w:val="00D60CF0"/>
    <w:rsid w:val="00D60CF6"/>
    <w:rsid w:val="00D60DA6"/>
    <w:rsid w:val="00D60DDD"/>
    <w:rsid w:val="00D6115E"/>
    <w:rsid w:val="00D612AF"/>
    <w:rsid w:val="00D6133F"/>
    <w:rsid w:val="00D61439"/>
    <w:rsid w:val="00D61509"/>
    <w:rsid w:val="00D6161A"/>
    <w:rsid w:val="00D61667"/>
    <w:rsid w:val="00D6172D"/>
    <w:rsid w:val="00D61836"/>
    <w:rsid w:val="00D61E7D"/>
    <w:rsid w:val="00D62041"/>
    <w:rsid w:val="00D6238A"/>
    <w:rsid w:val="00D623C9"/>
    <w:rsid w:val="00D62433"/>
    <w:rsid w:val="00D628EE"/>
    <w:rsid w:val="00D62C6E"/>
    <w:rsid w:val="00D62E7D"/>
    <w:rsid w:val="00D62E9C"/>
    <w:rsid w:val="00D630F4"/>
    <w:rsid w:val="00D631E3"/>
    <w:rsid w:val="00D631F7"/>
    <w:rsid w:val="00D632DA"/>
    <w:rsid w:val="00D632E6"/>
    <w:rsid w:val="00D63416"/>
    <w:rsid w:val="00D635C6"/>
    <w:rsid w:val="00D6396A"/>
    <w:rsid w:val="00D6399D"/>
    <w:rsid w:val="00D63DBA"/>
    <w:rsid w:val="00D63E8B"/>
    <w:rsid w:val="00D63FC0"/>
    <w:rsid w:val="00D63FF9"/>
    <w:rsid w:val="00D64059"/>
    <w:rsid w:val="00D640AF"/>
    <w:rsid w:val="00D64133"/>
    <w:rsid w:val="00D64621"/>
    <w:rsid w:val="00D64633"/>
    <w:rsid w:val="00D646E5"/>
    <w:rsid w:val="00D64AC7"/>
    <w:rsid w:val="00D64BB4"/>
    <w:rsid w:val="00D64F6B"/>
    <w:rsid w:val="00D64FAE"/>
    <w:rsid w:val="00D64FD5"/>
    <w:rsid w:val="00D64FF9"/>
    <w:rsid w:val="00D65553"/>
    <w:rsid w:val="00D65639"/>
    <w:rsid w:val="00D65734"/>
    <w:rsid w:val="00D6593A"/>
    <w:rsid w:val="00D65AF5"/>
    <w:rsid w:val="00D65E89"/>
    <w:rsid w:val="00D66062"/>
    <w:rsid w:val="00D66555"/>
    <w:rsid w:val="00D66674"/>
    <w:rsid w:val="00D66689"/>
    <w:rsid w:val="00D66A52"/>
    <w:rsid w:val="00D67297"/>
    <w:rsid w:val="00D675E3"/>
    <w:rsid w:val="00D67662"/>
    <w:rsid w:val="00D6782D"/>
    <w:rsid w:val="00D6786B"/>
    <w:rsid w:val="00D6797C"/>
    <w:rsid w:val="00D67996"/>
    <w:rsid w:val="00D67B6D"/>
    <w:rsid w:val="00D67D4C"/>
    <w:rsid w:val="00D67E47"/>
    <w:rsid w:val="00D67F87"/>
    <w:rsid w:val="00D67FCC"/>
    <w:rsid w:val="00D706A6"/>
    <w:rsid w:val="00D70786"/>
    <w:rsid w:val="00D707F5"/>
    <w:rsid w:val="00D7098B"/>
    <w:rsid w:val="00D70A56"/>
    <w:rsid w:val="00D70C95"/>
    <w:rsid w:val="00D70CAD"/>
    <w:rsid w:val="00D70CB5"/>
    <w:rsid w:val="00D70D46"/>
    <w:rsid w:val="00D7119C"/>
    <w:rsid w:val="00D7129C"/>
    <w:rsid w:val="00D712D0"/>
    <w:rsid w:val="00D712FB"/>
    <w:rsid w:val="00D71321"/>
    <w:rsid w:val="00D7134A"/>
    <w:rsid w:val="00D7137F"/>
    <w:rsid w:val="00D715D8"/>
    <w:rsid w:val="00D71630"/>
    <w:rsid w:val="00D71692"/>
    <w:rsid w:val="00D717D4"/>
    <w:rsid w:val="00D71917"/>
    <w:rsid w:val="00D71ADE"/>
    <w:rsid w:val="00D71BED"/>
    <w:rsid w:val="00D71CDB"/>
    <w:rsid w:val="00D72072"/>
    <w:rsid w:val="00D72134"/>
    <w:rsid w:val="00D7213B"/>
    <w:rsid w:val="00D721D7"/>
    <w:rsid w:val="00D725E8"/>
    <w:rsid w:val="00D726A9"/>
    <w:rsid w:val="00D726EF"/>
    <w:rsid w:val="00D728D6"/>
    <w:rsid w:val="00D72C8A"/>
    <w:rsid w:val="00D72DFA"/>
    <w:rsid w:val="00D72EAD"/>
    <w:rsid w:val="00D73180"/>
    <w:rsid w:val="00D7321F"/>
    <w:rsid w:val="00D733AA"/>
    <w:rsid w:val="00D73453"/>
    <w:rsid w:val="00D7360C"/>
    <w:rsid w:val="00D73699"/>
    <w:rsid w:val="00D736A8"/>
    <w:rsid w:val="00D736DF"/>
    <w:rsid w:val="00D73814"/>
    <w:rsid w:val="00D73BB8"/>
    <w:rsid w:val="00D73E8F"/>
    <w:rsid w:val="00D73F73"/>
    <w:rsid w:val="00D73FC5"/>
    <w:rsid w:val="00D73FDB"/>
    <w:rsid w:val="00D74000"/>
    <w:rsid w:val="00D7428C"/>
    <w:rsid w:val="00D7436D"/>
    <w:rsid w:val="00D7445A"/>
    <w:rsid w:val="00D7457D"/>
    <w:rsid w:val="00D7465B"/>
    <w:rsid w:val="00D7473F"/>
    <w:rsid w:val="00D74743"/>
    <w:rsid w:val="00D747B9"/>
    <w:rsid w:val="00D7486F"/>
    <w:rsid w:val="00D748F8"/>
    <w:rsid w:val="00D74AC4"/>
    <w:rsid w:val="00D74B71"/>
    <w:rsid w:val="00D74BCB"/>
    <w:rsid w:val="00D74C71"/>
    <w:rsid w:val="00D74CF4"/>
    <w:rsid w:val="00D74D25"/>
    <w:rsid w:val="00D75053"/>
    <w:rsid w:val="00D750B4"/>
    <w:rsid w:val="00D7517E"/>
    <w:rsid w:val="00D7555A"/>
    <w:rsid w:val="00D75632"/>
    <w:rsid w:val="00D7570D"/>
    <w:rsid w:val="00D757E9"/>
    <w:rsid w:val="00D7586D"/>
    <w:rsid w:val="00D758D9"/>
    <w:rsid w:val="00D759F7"/>
    <w:rsid w:val="00D75A82"/>
    <w:rsid w:val="00D75AC9"/>
    <w:rsid w:val="00D75BAA"/>
    <w:rsid w:val="00D75F96"/>
    <w:rsid w:val="00D76127"/>
    <w:rsid w:val="00D76133"/>
    <w:rsid w:val="00D7623A"/>
    <w:rsid w:val="00D76244"/>
    <w:rsid w:val="00D76289"/>
    <w:rsid w:val="00D76427"/>
    <w:rsid w:val="00D76496"/>
    <w:rsid w:val="00D76711"/>
    <w:rsid w:val="00D767BE"/>
    <w:rsid w:val="00D76869"/>
    <w:rsid w:val="00D76C5D"/>
    <w:rsid w:val="00D76D3F"/>
    <w:rsid w:val="00D76F57"/>
    <w:rsid w:val="00D77028"/>
    <w:rsid w:val="00D7735A"/>
    <w:rsid w:val="00D77416"/>
    <w:rsid w:val="00D77462"/>
    <w:rsid w:val="00D7751E"/>
    <w:rsid w:val="00D77638"/>
    <w:rsid w:val="00D776CA"/>
    <w:rsid w:val="00D776D5"/>
    <w:rsid w:val="00D779AC"/>
    <w:rsid w:val="00D77E13"/>
    <w:rsid w:val="00D77E67"/>
    <w:rsid w:val="00D77E6D"/>
    <w:rsid w:val="00D77ED4"/>
    <w:rsid w:val="00D80159"/>
    <w:rsid w:val="00D802EA"/>
    <w:rsid w:val="00D80351"/>
    <w:rsid w:val="00D804CD"/>
    <w:rsid w:val="00D80577"/>
    <w:rsid w:val="00D805A9"/>
    <w:rsid w:val="00D805E1"/>
    <w:rsid w:val="00D80693"/>
    <w:rsid w:val="00D8091D"/>
    <w:rsid w:val="00D80D0A"/>
    <w:rsid w:val="00D80D0B"/>
    <w:rsid w:val="00D8116B"/>
    <w:rsid w:val="00D812CA"/>
    <w:rsid w:val="00D814CC"/>
    <w:rsid w:val="00D8150F"/>
    <w:rsid w:val="00D816FC"/>
    <w:rsid w:val="00D818D5"/>
    <w:rsid w:val="00D81E11"/>
    <w:rsid w:val="00D820EB"/>
    <w:rsid w:val="00D822EE"/>
    <w:rsid w:val="00D826DD"/>
    <w:rsid w:val="00D829C0"/>
    <w:rsid w:val="00D829E9"/>
    <w:rsid w:val="00D82A6C"/>
    <w:rsid w:val="00D82AB4"/>
    <w:rsid w:val="00D82ACB"/>
    <w:rsid w:val="00D82E09"/>
    <w:rsid w:val="00D82FA1"/>
    <w:rsid w:val="00D832D3"/>
    <w:rsid w:val="00D8351C"/>
    <w:rsid w:val="00D83570"/>
    <w:rsid w:val="00D83802"/>
    <w:rsid w:val="00D83923"/>
    <w:rsid w:val="00D83A50"/>
    <w:rsid w:val="00D83B5B"/>
    <w:rsid w:val="00D83D5D"/>
    <w:rsid w:val="00D83F45"/>
    <w:rsid w:val="00D83FC1"/>
    <w:rsid w:val="00D841D9"/>
    <w:rsid w:val="00D8426C"/>
    <w:rsid w:val="00D84402"/>
    <w:rsid w:val="00D84B9F"/>
    <w:rsid w:val="00D84CAB"/>
    <w:rsid w:val="00D84CBD"/>
    <w:rsid w:val="00D84E27"/>
    <w:rsid w:val="00D84E2B"/>
    <w:rsid w:val="00D84FAC"/>
    <w:rsid w:val="00D85297"/>
    <w:rsid w:val="00D85422"/>
    <w:rsid w:val="00D85506"/>
    <w:rsid w:val="00D8559F"/>
    <w:rsid w:val="00D85835"/>
    <w:rsid w:val="00D8583C"/>
    <w:rsid w:val="00D85BCC"/>
    <w:rsid w:val="00D85CB3"/>
    <w:rsid w:val="00D85D9E"/>
    <w:rsid w:val="00D85E37"/>
    <w:rsid w:val="00D85EDE"/>
    <w:rsid w:val="00D85F02"/>
    <w:rsid w:val="00D85F2D"/>
    <w:rsid w:val="00D8611B"/>
    <w:rsid w:val="00D861D0"/>
    <w:rsid w:val="00D8630B"/>
    <w:rsid w:val="00D86868"/>
    <w:rsid w:val="00D868E4"/>
    <w:rsid w:val="00D86CEA"/>
    <w:rsid w:val="00D86DB0"/>
    <w:rsid w:val="00D86E41"/>
    <w:rsid w:val="00D86E64"/>
    <w:rsid w:val="00D86FCD"/>
    <w:rsid w:val="00D87306"/>
    <w:rsid w:val="00D873A7"/>
    <w:rsid w:val="00D873E4"/>
    <w:rsid w:val="00D876F8"/>
    <w:rsid w:val="00D877CE"/>
    <w:rsid w:val="00D878BD"/>
    <w:rsid w:val="00D87C1D"/>
    <w:rsid w:val="00D90456"/>
    <w:rsid w:val="00D90778"/>
    <w:rsid w:val="00D907B8"/>
    <w:rsid w:val="00D90B68"/>
    <w:rsid w:val="00D90EB4"/>
    <w:rsid w:val="00D90EBF"/>
    <w:rsid w:val="00D910A8"/>
    <w:rsid w:val="00D910B2"/>
    <w:rsid w:val="00D911C6"/>
    <w:rsid w:val="00D9128C"/>
    <w:rsid w:val="00D914DB"/>
    <w:rsid w:val="00D9168E"/>
    <w:rsid w:val="00D917E4"/>
    <w:rsid w:val="00D91881"/>
    <w:rsid w:val="00D91B69"/>
    <w:rsid w:val="00D920E3"/>
    <w:rsid w:val="00D92397"/>
    <w:rsid w:val="00D92642"/>
    <w:rsid w:val="00D92690"/>
    <w:rsid w:val="00D92706"/>
    <w:rsid w:val="00D92825"/>
    <w:rsid w:val="00D9282A"/>
    <w:rsid w:val="00D92D9D"/>
    <w:rsid w:val="00D92DDD"/>
    <w:rsid w:val="00D92DE5"/>
    <w:rsid w:val="00D92DF8"/>
    <w:rsid w:val="00D92FFC"/>
    <w:rsid w:val="00D930B8"/>
    <w:rsid w:val="00D93195"/>
    <w:rsid w:val="00D9339B"/>
    <w:rsid w:val="00D933CF"/>
    <w:rsid w:val="00D935D7"/>
    <w:rsid w:val="00D935FB"/>
    <w:rsid w:val="00D93642"/>
    <w:rsid w:val="00D93648"/>
    <w:rsid w:val="00D936BB"/>
    <w:rsid w:val="00D936D5"/>
    <w:rsid w:val="00D938E7"/>
    <w:rsid w:val="00D93A25"/>
    <w:rsid w:val="00D93A33"/>
    <w:rsid w:val="00D93BBF"/>
    <w:rsid w:val="00D93BC2"/>
    <w:rsid w:val="00D93E95"/>
    <w:rsid w:val="00D93F43"/>
    <w:rsid w:val="00D93FA1"/>
    <w:rsid w:val="00D941E0"/>
    <w:rsid w:val="00D942C9"/>
    <w:rsid w:val="00D9441F"/>
    <w:rsid w:val="00D9485C"/>
    <w:rsid w:val="00D948D0"/>
    <w:rsid w:val="00D94951"/>
    <w:rsid w:val="00D94CEA"/>
    <w:rsid w:val="00D9514D"/>
    <w:rsid w:val="00D954AC"/>
    <w:rsid w:val="00D954C9"/>
    <w:rsid w:val="00D9550C"/>
    <w:rsid w:val="00D956A9"/>
    <w:rsid w:val="00D9580A"/>
    <w:rsid w:val="00D95AD2"/>
    <w:rsid w:val="00D95B49"/>
    <w:rsid w:val="00D95C5B"/>
    <w:rsid w:val="00D95E3D"/>
    <w:rsid w:val="00D95F02"/>
    <w:rsid w:val="00D95F74"/>
    <w:rsid w:val="00D95FDC"/>
    <w:rsid w:val="00D96894"/>
    <w:rsid w:val="00D969DD"/>
    <w:rsid w:val="00D96B75"/>
    <w:rsid w:val="00D96E9C"/>
    <w:rsid w:val="00D96F0F"/>
    <w:rsid w:val="00D96F60"/>
    <w:rsid w:val="00D96F9E"/>
    <w:rsid w:val="00D97018"/>
    <w:rsid w:val="00D97202"/>
    <w:rsid w:val="00D972DD"/>
    <w:rsid w:val="00D97536"/>
    <w:rsid w:val="00D9756E"/>
    <w:rsid w:val="00D9774A"/>
    <w:rsid w:val="00D97780"/>
    <w:rsid w:val="00D978F3"/>
    <w:rsid w:val="00D97C58"/>
    <w:rsid w:val="00D97CB6"/>
    <w:rsid w:val="00D97F95"/>
    <w:rsid w:val="00DA01CA"/>
    <w:rsid w:val="00DA0307"/>
    <w:rsid w:val="00DA058B"/>
    <w:rsid w:val="00DA05E4"/>
    <w:rsid w:val="00DA0890"/>
    <w:rsid w:val="00DA0903"/>
    <w:rsid w:val="00DA09DC"/>
    <w:rsid w:val="00DA0E47"/>
    <w:rsid w:val="00DA0F85"/>
    <w:rsid w:val="00DA1102"/>
    <w:rsid w:val="00DA1145"/>
    <w:rsid w:val="00DA1294"/>
    <w:rsid w:val="00DA135E"/>
    <w:rsid w:val="00DA1593"/>
    <w:rsid w:val="00DA15EF"/>
    <w:rsid w:val="00DA1687"/>
    <w:rsid w:val="00DA16FB"/>
    <w:rsid w:val="00DA175B"/>
    <w:rsid w:val="00DA1824"/>
    <w:rsid w:val="00DA1980"/>
    <w:rsid w:val="00DA19E8"/>
    <w:rsid w:val="00DA1AB3"/>
    <w:rsid w:val="00DA1E16"/>
    <w:rsid w:val="00DA1E3B"/>
    <w:rsid w:val="00DA1E70"/>
    <w:rsid w:val="00DA1E88"/>
    <w:rsid w:val="00DA1F79"/>
    <w:rsid w:val="00DA2041"/>
    <w:rsid w:val="00DA2075"/>
    <w:rsid w:val="00DA2206"/>
    <w:rsid w:val="00DA23D1"/>
    <w:rsid w:val="00DA2517"/>
    <w:rsid w:val="00DA253C"/>
    <w:rsid w:val="00DA27CD"/>
    <w:rsid w:val="00DA295E"/>
    <w:rsid w:val="00DA2B3D"/>
    <w:rsid w:val="00DA2DFA"/>
    <w:rsid w:val="00DA2F3B"/>
    <w:rsid w:val="00DA3137"/>
    <w:rsid w:val="00DA3151"/>
    <w:rsid w:val="00DA31B3"/>
    <w:rsid w:val="00DA31CD"/>
    <w:rsid w:val="00DA341E"/>
    <w:rsid w:val="00DA3523"/>
    <w:rsid w:val="00DA3AD9"/>
    <w:rsid w:val="00DA3B2A"/>
    <w:rsid w:val="00DA3B33"/>
    <w:rsid w:val="00DA3E1C"/>
    <w:rsid w:val="00DA4082"/>
    <w:rsid w:val="00DA4215"/>
    <w:rsid w:val="00DA421F"/>
    <w:rsid w:val="00DA4253"/>
    <w:rsid w:val="00DA448F"/>
    <w:rsid w:val="00DA44A0"/>
    <w:rsid w:val="00DA4527"/>
    <w:rsid w:val="00DA4694"/>
    <w:rsid w:val="00DA473F"/>
    <w:rsid w:val="00DA4A6C"/>
    <w:rsid w:val="00DA4AA6"/>
    <w:rsid w:val="00DA4BE8"/>
    <w:rsid w:val="00DA4C86"/>
    <w:rsid w:val="00DA4D55"/>
    <w:rsid w:val="00DA4DBB"/>
    <w:rsid w:val="00DA5086"/>
    <w:rsid w:val="00DA517B"/>
    <w:rsid w:val="00DA5323"/>
    <w:rsid w:val="00DA5395"/>
    <w:rsid w:val="00DA5838"/>
    <w:rsid w:val="00DA588E"/>
    <w:rsid w:val="00DA5C07"/>
    <w:rsid w:val="00DA5E09"/>
    <w:rsid w:val="00DA5FDE"/>
    <w:rsid w:val="00DA6111"/>
    <w:rsid w:val="00DA61BA"/>
    <w:rsid w:val="00DA6235"/>
    <w:rsid w:val="00DA6807"/>
    <w:rsid w:val="00DA680B"/>
    <w:rsid w:val="00DA68D5"/>
    <w:rsid w:val="00DA693B"/>
    <w:rsid w:val="00DA6A69"/>
    <w:rsid w:val="00DA6B78"/>
    <w:rsid w:val="00DA6D82"/>
    <w:rsid w:val="00DA6DEF"/>
    <w:rsid w:val="00DA6F27"/>
    <w:rsid w:val="00DA70FD"/>
    <w:rsid w:val="00DA7212"/>
    <w:rsid w:val="00DA763F"/>
    <w:rsid w:val="00DA765F"/>
    <w:rsid w:val="00DA77AD"/>
    <w:rsid w:val="00DA780A"/>
    <w:rsid w:val="00DA7C98"/>
    <w:rsid w:val="00DB0112"/>
    <w:rsid w:val="00DB018B"/>
    <w:rsid w:val="00DB028D"/>
    <w:rsid w:val="00DB034F"/>
    <w:rsid w:val="00DB06A5"/>
    <w:rsid w:val="00DB09DA"/>
    <w:rsid w:val="00DB0B6D"/>
    <w:rsid w:val="00DB0C28"/>
    <w:rsid w:val="00DB0D49"/>
    <w:rsid w:val="00DB0D7F"/>
    <w:rsid w:val="00DB1115"/>
    <w:rsid w:val="00DB12A9"/>
    <w:rsid w:val="00DB13AE"/>
    <w:rsid w:val="00DB13D6"/>
    <w:rsid w:val="00DB141D"/>
    <w:rsid w:val="00DB1461"/>
    <w:rsid w:val="00DB14DB"/>
    <w:rsid w:val="00DB1619"/>
    <w:rsid w:val="00DB17CB"/>
    <w:rsid w:val="00DB19AF"/>
    <w:rsid w:val="00DB19FA"/>
    <w:rsid w:val="00DB1CA4"/>
    <w:rsid w:val="00DB1D8A"/>
    <w:rsid w:val="00DB1F5E"/>
    <w:rsid w:val="00DB21C2"/>
    <w:rsid w:val="00DB22BC"/>
    <w:rsid w:val="00DB25B5"/>
    <w:rsid w:val="00DB25DF"/>
    <w:rsid w:val="00DB2697"/>
    <w:rsid w:val="00DB278B"/>
    <w:rsid w:val="00DB2846"/>
    <w:rsid w:val="00DB2892"/>
    <w:rsid w:val="00DB28FD"/>
    <w:rsid w:val="00DB299B"/>
    <w:rsid w:val="00DB2AB4"/>
    <w:rsid w:val="00DB2ACE"/>
    <w:rsid w:val="00DB2B1E"/>
    <w:rsid w:val="00DB2BD9"/>
    <w:rsid w:val="00DB2C11"/>
    <w:rsid w:val="00DB2DFD"/>
    <w:rsid w:val="00DB2E17"/>
    <w:rsid w:val="00DB2FFB"/>
    <w:rsid w:val="00DB338D"/>
    <w:rsid w:val="00DB3429"/>
    <w:rsid w:val="00DB3467"/>
    <w:rsid w:val="00DB36FF"/>
    <w:rsid w:val="00DB3CC4"/>
    <w:rsid w:val="00DB3EE5"/>
    <w:rsid w:val="00DB41DA"/>
    <w:rsid w:val="00DB41E8"/>
    <w:rsid w:val="00DB4643"/>
    <w:rsid w:val="00DB4893"/>
    <w:rsid w:val="00DB48F9"/>
    <w:rsid w:val="00DB4D05"/>
    <w:rsid w:val="00DB4D96"/>
    <w:rsid w:val="00DB4EAC"/>
    <w:rsid w:val="00DB50EB"/>
    <w:rsid w:val="00DB5271"/>
    <w:rsid w:val="00DB547D"/>
    <w:rsid w:val="00DB5524"/>
    <w:rsid w:val="00DB569A"/>
    <w:rsid w:val="00DB57C8"/>
    <w:rsid w:val="00DB5800"/>
    <w:rsid w:val="00DB5B36"/>
    <w:rsid w:val="00DB5CC1"/>
    <w:rsid w:val="00DB5CF5"/>
    <w:rsid w:val="00DB5E65"/>
    <w:rsid w:val="00DB5E68"/>
    <w:rsid w:val="00DB5E9C"/>
    <w:rsid w:val="00DB6081"/>
    <w:rsid w:val="00DB6113"/>
    <w:rsid w:val="00DB6146"/>
    <w:rsid w:val="00DB63F2"/>
    <w:rsid w:val="00DB652A"/>
    <w:rsid w:val="00DB68E8"/>
    <w:rsid w:val="00DB6A70"/>
    <w:rsid w:val="00DB6C7E"/>
    <w:rsid w:val="00DB6D9B"/>
    <w:rsid w:val="00DB6EA1"/>
    <w:rsid w:val="00DB6F4E"/>
    <w:rsid w:val="00DB73AA"/>
    <w:rsid w:val="00DB7454"/>
    <w:rsid w:val="00DB78AC"/>
    <w:rsid w:val="00DB7A69"/>
    <w:rsid w:val="00DB7A98"/>
    <w:rsid w:val="00DB7AED"/>
    <w:rsid w:val="00DB7E93"/>
    <w:rsid w:val="00DC00B8"/>
    <w:rsid w:val="00DC0252"/>
    <w:rsid w:val="00DC0448"/>
    <w:rsid w:val="00DC059C"/>
    <w:rsid w:val="00DC06F8"/>
    <w:rsid w:val="00DC07BC"/>
    <w:rsid w:val="00DC0BC1"/>
    <w:rsid w:val="00DC0CF9"/>
    <w:rsid w:val="00DC0E1B"/>
    <w:rsid w:val="00DC0E3C"/>
    <w:rsid w:val="00DC0E7E"/>
    <w:rsid w:val="00DC0F1B"/>
    <w:rsid w:val="00DC0F52"/>
    <w:rsid w:val="00DC10C6"/>
    <w:rsid w:val="00DC116D"/>
    <w:rsid w:val="00DC133B"/>
    <w:rsid w:val="00DC18AA"/>
    <w:rsid w:val="00DC1A1D"/>
    <w:rsid w:val="00DC1B3B"/>
    <w:rsid w:val="00DC1C72"/>
    <w:rsid w:val="00DC1CCF"/>
    <w:rsid w:val="00DC1CE9"/>
    <w:rsid w:val="00DC1DE7"/>
    <w:rsid w:val="00DC2263"/>
    <w:rsid w:val="00DC23CA"/>
    <w:rsid w:val="00DC2530"/>
    <w:rsid w:val="00DC26E5"/>
    <w:rsid w:val="00DC291E"/>
    <w:rsid w:val="00DC2B0F"/>
    <w:rsid w:val="00DC2CCC"/>
    <w:rsid w:val="00DC2E3A"/>
    <w:rsid w:val="00DC33E9"/>
    <w:rsid w:val="00DC3411"/>
    <w:rsid w:val="00DC377B"/>
    <w:rsid w:val="00DC3809"/>
    <w:rsid w:val="00DC3917"/>
    <w:rsid w:val="00DC3AAD"/>
    <w:rsid w:val="00DC3C3F"/>
    <w:rsid w:val="00DC3CC6"/>
    <w:rsid w:val="00DC3E63"/>
    <w:rsid w:val="00DC436C"/>
    <w:rsid w:val="00DC43AE"/>
    <w:rsid w:val="00DC43BE"/>
    <w:rsid w:val="00DC43EE"/>
    <w:rsid w:val="00DC455D"/>
    <w:rsid w:val="00DC45E1"/>
    <w:rsid w:val="00DC45EA"/>
    <w:rsid w:val="00DC47DE"/>
    <w:rsid w:val="00DC48AF"/>
    <w:rsid w:val="00DC4909"/>
    <w:rsid w:val="00DC49A8"/>
    <w:rsid w:val="00DC4A52"/>
    <w:rsid w:val="00DC4AC3"/>
    <w:rsid w:val="00DC4DA4"/>
    <w:rsid w:val="00DC4EE9"/>
    <w:rsid w:val="00DC4F37"/>
    <w:rsid w:val="00DC509D"/>
    <w:rsid w:val="00DC578D"/>
    <w:rsid w:val="00DC5BEE"/>
    <w:rsid w:val="00DC62AF"/>
    <w:rsid w:val="00DC6394"/>
    <w:rsid w:val="00DC6458"/>
    <w:rsid w:val="00DC64EB"/>
    <w:rsid w:val="00DC658F"/>
    <w:rsid w:val="00DC68D3"/>
    <w:rsid w:val="00DC6903"/>
    <w:rsid w:val="00DC694A"/>
    <w:rsid w:val="00DC6967"/>
    <w:rsid w:val="00DC6C5B"/>
    <w:rsid w:val="00DC71BB"/>
    <w:rsid w:val="00DC7208"/>
    <w:rsid w:val="00DC73BD"/>
    <w:rsid w:val="00DC7415"/>
    <w:rsid w:val="00DC744A"/>
    <w:rsid w:val="00DC74C3"/>
    <w:rsid w:val="00DC789F"/>
    <w:rsid w:val="00DC7910"/>
    <w:rsid w:val="00DC795A"/>
    <w:rsid w:val="00DC797F"/>
    <w:rsid w:val="00DC7B1F"/>
    <w:rsid w:val="00DC7C16"/>
    <w:rsid w:val="00DC7C91"/>
    <w:rsid w:val="00DC7F70"/>
    <w:rsid w:val="00DD012E"/>
    <w:rsid w:val="00DD0215"/>
    <w:rsid w:val="00DD0335"/>
    <w:rsid w:val="00DD0468"/>
    <w:rsid w:val="00DD0537"/>
    <w:rsid w:val="00DD0575"/>
    <w:rsid w:val="00DD06FA"/>
    <w:rsid w:val="00DD0888"/>
    <w:rsid w:val="00DD0A1A"/>
    <w:rsid w:val="00DD0DE0"/>
    <w:rsid w:val="00DD0F9A"/>
    <w:rsid w:val="00DD1013"/>
    <w:rsid w:val="00DD102B"/>
    <w:rsid w:val="00DD1071"/>
    <w:rsid w:val="00DD11F4"/>
    <w:rsid w:val="00DD122F"/>
    <w:rsid w:val="00DD1443"/>
    <w:rsid w:val="00DD14C8"/>
    <w:rsid w:val="00DD14F1"/>
    <w:rsid w:val="00DD1549"/>
    <w:rsid w:val="00DD1694"/>
    <w:rsid w:val="00DD1748"/>
    <w:rsid w:val="00DD1816"/>
    <w:rsid w:val="00DD1B1B"/>
    <w:rsid w:val="00DD1F15"/>
    <w:rsid w:val="00DD1F56"/>
    <w:rsid w:val="00DD20A1"/>
    <w:rsid w:val="00DD2299"/>
    <w:rsid w:val="00DD22D4"/>
    <w:rsid w:val="00DD241F"/>
    <w:rsid w:val="00DD24B6"/>
    <w:rsid w:val="00DD2722"/>
    <w:rsid w:val="00DD291A"/>
    <w:rsid w:val="00DD2A0B"/>
    <w:rsid w:val="00DD2A8B"/>
    <w:rsid w:val="00DD2B39"/>
    <w:rsid w:val="00DD2B65"/>
    <w:rsid w:val="00DD2CD2"/>
    <w:rsid w:val="00DD2E47"/>
    <w:rsid w:val="00DD327C"/>
    <w:rsid w:val="00DD379F"/>
    <w:rsid w:val="00DD3C95"/>
    <w:rsid w:val="00DD3D90"/>
    <w:rsid w:val="00DD3F29"/>
    <w:rsid w:val="00DD3FA6"/>
    <w:rsid w:val="00DD4046"/>
    <w:rsid w:val="00DD43CB"/>
    <w:rsid w:val="00DD43FF"/>
    <w:rsid w:val="00DD456F"/>
    <w:rsid w:val="00DD472E"/>
    <w:rsid w:val="00DD4CC7"/>
    <w:rsid w:val="00DD4F22"/>
    <w:rsid w:val="00DD5019"/>
    <w:rsid w:val="00DD5092"/>
    <w:rsid w:val="00DD5111"/>
    <w:rsid w:val="00DD54D8"/>
    <w:rsid w:val="00DD5588"/>
    <w:rsid w:val="00DD56B2"/>
    <w:rsid w:val="00DD582B"/>
    <w:rsid w:val="00DD5B44"/>
    <w:rsid w:val="00DD5FB3"/>
    <w:rsid w:val="00DD6086"/>
    <w:rsid w:val="00DD60BD"/>
    <w:rsid w:val="00DD60C8"/>
    <w:rsid w:val="00DD6197"/>
    <w:rsid w:val="00DD61BF"/>
    <w:rsid w:val="00DD62E8"/>
    <w:rsid w:val="00DD67E6"/>
    <w:rsid w:val="00DD6864"/>
    <w:rsid w:val="00DD68F7"/>
    <w:rsid w:val="00DD6AB7"/>
    <w:rsid w:val="00DD6AE9"/>
    <w:rsid w:val="00DD6BDC"/>
    <w:rsid w:val="00DD6D5F"/>
    <w:rsid w:val="00DD6D97"/>
    <w:rsid w:val="00DD717A"/>
    <w:rsid w:val="00DD7281"/>
    <w:rsid w:val="00DD753A"/>
    <w:rsid w:val="00DD7651"/>
    <w:rsid w:val="00DD76C8"/>
    <w:rsid w:val="00DD7918"/>
    <w:rsid w:val="00DD7D5D"/>
    <w:rsid w:val="00DD7DCB"/>
    <w:rsid w:val="00DD7F5D"/>
    <w:rsid w:val="00DE017F"/>
    <w:rsid w:val="00DE01D3"/>
    <w:rsid w:val="00DE03AA"/>
    <w:rsid w:val="00DE043A"/>
    <w:rsid w:val="00DE0A79"/>
    <w:rsid w:val="00DE0B44"/>
    <w:rsid w:val="00DE1048"/>
    <w:rsid w:val="00DE1170"/>
    <w:rsid w:val="00DE1242"/>
    <w:rsid w:val="00DE1330"/>
    <w:rsid w:val="00DE1487"/>
    <w:rsid w:val="00DE165C"/>
    <w:rsid w:val="00DE1779"/>
    <w:rsid w:val="00DE18EF"/>
    <w:rsid w:val="00DE1CBD"/>
    <w:rsid w:val="00DE1CC7"/>
    <w:rsid w:val="00DE2096"/>
    <w:rsid w:val="00DE21F9"/>
    <w:rsid w:val="00DE23DE"/>
    <w:rsid w:val="00DE2439"/>
    <w:rsid w:val="00DE246D"/>
    <w:rsid w:val="00DE250C"/>
    <w:rsid w:val="00DE2771"/>
    <w:rsid w:val="00DE28FA"/>
    <w:rsid w:val="00DE2C57"/>
    <w:rsid w:val="00DE2DDC"/>
    <w:rsid w:val="00DE2F1A"/>
    <w:rsid w:val="00DE3013"/>
    <w:rsid w:val="00DE31A7"/>
    <w:rsid w:val="00DE32D6"/>
    <w:rsid w:val="00DE33D9"/>
    <w:rsid w:val="00DE3545"/>
    <w:rsid w:val="00DE3564"/>
    <w:rsid w:val="00DE371F"/>
    <w:rsid w:val="00DE39E4"/>
    <w:rsid w:val="00DE3C22"/>
    <w:rsid w:val="00DE3D8C"/>
    <w:rsid w:val="00DE3EEE"/>
    <w:rsid w:val="00DE3FF6"/>
    <w:rsid w:val="00DE4032"/>
    <w:rsid w:val="00DE4131"/>
    <w:rsid w:val="00DE471E"/>
    <w:rsid w:val="00DE4725"/>
    <w:rsid w:val="00DE488D"/>
    <w:rsid w:val="00DE4A38"/>
    <w:rsid w:val="00DE4BCF"/>
    <w:rsid w:val="00DE4C03"/>
    <w:rsid w:val="00DE4C47"/>
    <w:rsid w:val="00DE4DFC"/>
    <w:rsid w:val="00DE4E05"/>
    <w:rsid w:val="00DE4F47"/>
    <w:rsid w:val="00DE50DC"/>
    <w:rsid w:val="00DE512D"/>
    <w:rsid w:val="00DE522C"/>
    <w:rsid w:val="00DE53A3"/>
    <w:rsid w:val="00DE5722"/>
    <w:rsid w:val="00DE572C"/>
    <w:rsid w:val="00DE593F"/>
    <w:rsid w:val="00DE5C4C"/>
    <w:rsid w:val="00DE5C6B"/>
    <w:rsid w:val="00DE5CDC"/>
    <w:rsid w:val="00DE5D97"/>
    <w:rsid w:val="00DE605B"/>
    <w:rsid w:val="00DE6338"/>
    <w:rsid w:val="00DE6397"/>
    <w:rsid w:val="00DE641E"/>
    <w:rsid w:val="00DE64FF"/>
    <w:rsid w:val="00DE6662"/>
    <w:rsid w:val="00DE66C0"/>
    <w:rsid w:val="00DE67CC"/>
    <w:rsid w:val="00DE6929"/>
    <w:rsid w:val="00DE6B8D"/>
    <w:rsid w:val="00DE6BBA"/>
    <w:rsid w:val="00DE6C49"/>
    <w:rsid w:val="00DE6C6A"/>
    <w:rsid w:val="00DE6F6D"/>
    <w:rsid w:val="00DE717D"/>
    <w:rsid w:val="00DE71A9"/>
    <w:rsid w:val="00DE7568"/>
    <w:rsid w:val="00DE75F3"/>
    <w:rsid w:val="00DE76C8"/>
    <w:rsid w:val="00DE7950"/>
    <w:rsid w:val="00DE79B6"/>
    <w:rsid w:val="00DE7D39"/>
    <w:rsid w:val="00DE7DC4"/>
    <w:rsid w:val="00DE7ED1"/>
    <w:rsid w:val="00DF00FE"/>
    <w:rsid w:val="00DF01EE"/>
    <w:rsid w:val="00DF0452"/>
    <w:rsid w:val="00DF09C3"/>
    <w:rsid w:val="00DF0AB2"/>
    <w:rsid w:val="00DF0BC2"/>
    <w:rsid w:val="00DF0BF6"/>
    <w:rsid w:val="00DF0D79"/>
    <w:rsid w:val="00DF1179"/>
    <w:rsid w:val="00DF118D"/>
    <w:rsid w:val="00DF146B"/>
    <w:rsid w:val="00DF14D5"/>
    <w:rsid w:val="00DF158A"/>
    <w:rsid w:val="00DF1A2E"/>
    <w:rsid w:val="00DF1A59"/>
    <w:rsid w:val="00DF1C25"/>
    <w:rsid w:val="00DF20FF"/>
    <w:rsid w:val="00DF210B"/>
    <w:rsid w:val="00DF2317"/>
    <w:rsid w:val="00DF2505"/>
    <w:rsid w:val="00DF25EA"/>
    <w:rsid w:val="00DF2606"/>
    <w:rsid w:val="00DF29EF"/>
    <w:rsid w:val="00DF2A20"/>
    <w:rsid w:val="00DF2B2C"/>
    <w:rsid w:val="00DF3170"/>
    <w:rsid w:val="00DF31D5"/>
    <w:rsid w:val="00DF33EE"/>
    <w:rsid w:val="00DF3422"/>
    <w:rsid w:val="00DF34FB"/>
    <w:rsid w:val="00DF36ED"/>
    <w:rsid w:val="00DF3863"/>
    <w:rsid w:val="00DF39C8"/>
    <w:rsid w:val="00DF3D57"/>
    <w:rsid w:val="00DF3E53"/>
    <w:rsid w:val="00DF3F88"/>
    <w:rsid w:val="00DF403D"/>
    <w:rsid w:val="00DF4164"/>
    <w:rsid w:val="00DF4507"/>
    <w:rsid w:val="00DF4513"/>
    <w:rsid w:val="00DF475C"/>
    <w:rsid w:val="00DF4A8B"/>
    <w:rsid w:val="00DF4BE8"/>
    <w:rsid w:val="00DF4CE8"/>
    <w:rsid w:val="00DF4ECF"/>
    <w:rsid w:val="00DF52E7"/>
    <w:rsid w:val="00DF567B"/>
    <w:rsid w:val="00DF56B6"/>
    <w:rsid w:val="00DF5752"/>
    <w:rsid w:val="00DF57E0"/>
    <w:rsid w:val="00DF5976"/>
    <w:rsid w:val="00DF5A79"/>
    <w:rsid w:val="00DF5EC5"/>
    <w:rsid w:val="00DF60BA"/>
    <w:rsid w:val="00DF61DA"/>
    <w:rsid w:val="00DF6253"/>
    <w:rsid w:val="00DF668F"/>
    <w:rsid w:val="00DF672D"/>
    <w:rsid w:val="00DF67B3"/>
    <w:rsid w:val="00DF67F2"/>
    <w:rsid w:val="00DF6A35"/>
    <w:rsid w:val="00DF6B0B"/>
    <w:rsid w:val="00DF6B56"/>
    <w:rsid w:val="00DF702E"/>
    <w:rsid w:val="00DF71BA"/>
    <w:rsid w:val="00DF7432"/>
    <w:rsid w:val="00DF77B3"/>
    <w:rsid w:val="00DF78B1"/>
    <w:rsid w:val="00DF79B6"/>
    <w:rsid w:val="00DF7A2C"/>
    <w:rsid w:val="00DF7ADF"/>
    <w:rsid w:val="00DF7B5F"/>
    <w:rsid w:val="00DF7D5B"/>
    <w:rsid w:val="00DF7EF4"/>
    <w:rsid w:val="00E00446"/>
    <w:rsid w:val="00E00634"/>
    <w:rsid w:val="00E006A4"/>
    <w:rsid w:val="00E00867"/>
    <w:rsid w:val="00E00973"/>
    <w:rsid w:val="00E00AC5"/>
    <w:rsid w:val="00E00C44"/>
    <w:rsid w:val="00E00D4F"/>
    <w:rsid w:val="00E00E02"/>
    <w:rsid w:val="00E00E31"/>
    <w:rsid w:val="00E0108B"/>
    <w:rsid w:val="00E011AE"/>
    <w:rsid w:val="00E0125D"/>
    <w:rsid w:val="00E0138C"/>
    <w:rsid w:val="00E0142F"/>
    <w:rsid w:val="00E01983"/>
    <w:rsid w:val="00E01997"/>
    <w:rsid w:val="00E0247F"/>
    <w:rsid w:val="00E025B2"/>
    <w:rsid w:val="00E029D2"/>
    <w:rsid w:val="00E02E45"/>
    <w:rsid w:val="00E02F99"/>
    <w:rsid w:val="00E0318D"/>
    <w:rsid w:val="00E0334E"/>
    <w:rsid w:val="00E033E6"/>
    <w:rsid w:val="00E035F3"/>
    <w:rsid w:val="00E03627"/>
    <w:rsid w:val="00E038AE"/>
    <w:rsid w:val="00E04452"/>
    <w:rsid w:val="00E044F7"/>
    <w:rsid w:val="00E0450E"/>
    <w:rsid w:val="00E04654"/>
    <w:rsid w:val="00E04795"/>
    <w:rsid w:val="00E047EB"/>
    <w:rsid w:val="00E048E9"/>
    <w:rsid w:val="00E04B09"/>
    <w:rsid w:val="00E04D93"/>
    <w:rsid w:val="00E04DC5"/>
    <w:rsid w:val="00E04E35"/>
    <w:rsid w:val="00E04EC3"/>
    <w:rsid w:val="00E04EFB"/>
    <w:rsid w:val="00E04F17"/>
    <w:rsid w:val="00E051C1"/>
    <w:rsid w:val="00E05420"/>
    <w:rsid w:val="00E0573B"/>
    <w:rsid w:val="00E05773"/>
    <w:rsid w:val="00E05B6C"/>
    <w:rsid w:val="00E05BC9"/>
    <w:rsid w:val="00E062BB"/>
    <w:rsid w:val="00E06334"/>
    <w:rsid w:val="00E06482"/>
    <w:rsid w:val="00E064EB"/>
    <w:rsid w:val="00E067B6"/>
    <w:rsid w:val="00E06A8F"/>
    <w:rsid w:val="00E06ABE"/>
    <w:rsid w:val="00E06B58"/>
    <w:rsid w:val="00E06EBF"/>
    <w:rsid w:val="00E06EF8"/>
    <w:rsid w:val="00E06F03"/>
    <w:rsid w:val="00E07120"/>
    <w:rsid w:val="00E0725B"/>
    <w:rsid w:val="00E072F4"/>
    <w:rsid w:val="00E074D1"/>
    <w:rsid w:val="00E0754A"/>
    <w:rsid w:val="00E076D0"/>
    <w:rsid w:val="00E07BDB"/>
    <w:rsid w:val="00E07D99"/>
    <w:rsid w:val="00E10127"/>
    <w:rsid w:val="00E10221"/>
    <w:rsid w:val="00E103BD"/>
    <w:rsid w:val="00E103CA"/>
    <w:rsid w:val="00E10532"/>
    <w:rsid w:val="00E10629"/>
    <w:rsid w:val="00E10A3A"/>
    <w:rsid w:val="00E10A6C"/>
    <w:rsid w:val="00E10EB7"/>
    <w:rsid w:val="00E10F0A"/>
    <w:rsid w:val="00E111FE"/>
    <w:rsid w:val="00E11674"/>
    <w:rsid w:val="00E116F8"/>
    <w:rsid w:val="00E11784"/>
    <w:rsid w:val="00E11810"/>
    <w:rsid w:val="00E11C41"/>
    <w:rsid w:val="00E11DBD"/>
    <w:rsid w:val="00E11E78"/>
    <w:rsid w:val="00E11F2E"/>
    <w:rsid w:val="00E120D8"/>
    <w:rsid w:val="00E1221D"/>
    <w:rsid w:val="00E12532"/>
    <w:rsid w:val="00E12659"/>
    <w:rsid w:val="00E12A79"/>
    <w:rsid w:val="00E12BEA"/>
    <w:rsid w:val="00E13089"/>
    <w:rsid w:val="00E1319D"/>
    <w:rsid w:val="00E13426"/>
    <w:rsid w:val="00E13427"/>
    <w:rsid w:val="00E13436"/>
    <w:rsid w:val="00E1348A"/>
    <w:rsid w:val="00E13498"/>
    <w:rsid w:val="00E1350D"/>
    <w:rsid w:val="00E13616"/>
    <w:rsid w:val="00E136FF"/>
    <w:rsid w:val="00E137E9"/>
    <w:rsid w:val="00E13B1D"/>
    <w:rsid w:val="00E13B3B"/>
    <w:rsid w:val="00E1414F"/>
    <w:rsid w:val="00E14181"/>
    <w:rsid w:val="00E14329"/>
    <w:rsid w:val="00E14348"/>
    <w:rsid w:val="00E143C9"/>
    <w:rsid w:val="00E144B6"/>
    <w:rsid w:val="00E14624"/>
    <w:rsid w:val="00E146C4"/>
    <w:rsid w:val="00E147AC"/>
    <w:rsid w:val="00E147F1"/>
    <w:rsid w:val="00E1490E"/>
    <w:rsid w:val="00E14AC1"/>
    <w:rsid w:val="00E14D7F"/>
    <w:rsid w:val="00E14E5B"/>
    <w:rsid w:val="00E14F77"/>
    <w:rsid w:val="00E1502F"/>
    <w:rsid w:val="00E15031"/>
    <w:rsid w:val="00E15238"/>
    <w:rsid w:val="00E152F6"/>
    <w:rsid w:val="00E15663"/>
    <w:rsid w:val="00E1597D"/>
    <w:rsid w:val="00E15A10"/>
    <w:rsid w:val="00E15B07"/>
    <w:rsid w:val="00E15E90"/>
    <w:rsid w:val="00E16011"/>
    <w:rsid w:val="00E161B4"/>
    <w:rsid w:val="00E1629C"/>
    <w:rsid w:val="00E1635F"/>
    <w:rsid w:val="00E163A9"/>
    <w:rsid w:val="00E16485"/>
    <w:rsid w:val="00E165BC"/>
    <w:rsid w:val="00E166BA"/>
    <w:rsid w:val="00E166DC"/>
    <w:rsid w:val="00E16856"/>
    <w:rsid w:val="00E16883"/>
    <w:rsid w:val="00E16A36"/>
    <w:rsid w:val="00E16A76"/>
    <w:rsid w:val="00E17053"/>
    <w:rsid w:val="00E17217"/>
    <w:rsid w:val="00E1746F"/>
    <w:rsid w:val="00E175C3"/>
    <w:rsid w:val="00E17B0A"/>
    <w:rsid w:val="00E17D22"/>
    <w:rsid w:val="00E17E9A"/>
    <w:rsid w:val="00E17FE5"/>
    <w:rsid w:val="00E20279"/>
    <w:rsid w:val="00E20311"/>
    <w:rsid w:val="00E203D1"/>
    <w:rsid w:val="00E2059B"/>
    <w:rsid w:val="00E2067A"/>
    <w:rsid w:val="00E20760"/>
    <w:rsid w:val="00E20765"/>
    <w:rsid w:val="00E20812"/>
    <w:rsid w:val="00E208EC"/>
    <w:rsid w:val="00E20A01"/>
    <w:rsid w:val="00E20B50"/>
    <w:rsid w:val="00E20E1F"/>
    <w:rsid w:val="00E20ED7"/>
    <w:rsid w:val="00E20FDB"/>
    <w:rsid w:val="00E21236"/>
    <w:rsid w:val="00E214A2"/>
    <w:rsid w:val="00E215D0"/>
    <w:rsid w:val="00E217D5"/>
    <w:rsid w:val="00E218AB"/>
    <w:rsid w:val="00E21B04"/>
    <w:rsid w:val="00E21B14"/>
    <w:rsid w:val="00E21B6A"/>
    <w:rsid w:val="00E21D99"/>
    <w:rsid w:val="00E21EAE"/>
    <w:rsid w:val="00E220AC"/>
    <w:rsid w:val="00E2212C"/>
    <w:rsid w:val="00E22599"/>
    <w:rsid w:val="00E2268D"/>
    <w:rsid w:val="00E22713"/>
    <w:rsid w:val="00E228D9"/>
    <w:rsid w:val="00E2291D"/>
    <w:rsid w:val="00E22A2D"/>
    <w:rsid w:val="00E22BF2"/>
    <w:rsid w:val="00E22C32"/>
    <w:rsid w:val="00E22F35"/>
    <w:rsid w:val="00E23036"/>
    <w:rsid w:val="00E230D2"/>
    <w:rsid w:val="00E23333"/>
    <w:rsid w:val="00E2334B"/>
    <w:rsid w:val="00E233E0"/>
    <w:rsid w:val="00E2349C"/>
    <w:rsid w:val="00E2357F"/>
    <w:rsid w:val="00E235D8"/>
    <w:rsid w:val="00E237E7"/>
    <w:rsid w:val="00E23A7D"/>
    <w:rsid w:val="00E23BAB"/>
    <w:rsid w:val="00E23CB4"/>
    <w:rsid w:val="00E23E3B"/>
    <w:rsid w:val="00E23E63"/>
    <w:rsid w:val="00E240AB"/>
    <w:rsid w:val="00E24321"/>
    <w:rsid w:val="00E244B9"/>
    <w:rsid w:val="00E2473C"/>
    <w:rsid w:val="00E248D7"/>
    <w:rsid w:val="00E24901"/>
    <w:rsid w:val="00E2493E"/>
    <w:rsid w:val="00E24B63"/>
    <w:rsid w:val="00E24BDA"/>
    <w:rsid w:val="00E24E7D"/>
    <w:rsid w:val="00E2534A"/>
    <w:rsid w:val="00E2535C"/>
    <w:rsid w:val="00E253E0"/>
    <w:rsid w:val="00E254FD"/>
    <w:rsid w:val="00E25550"/>
    <w:rsid w:val="00E25642"/>
    <w:rsid w:val="00E2582E"/>
    <w:rsid w:val="00E258EA"/>
    <w:rsid w:val="00E259C7"/>
    <w:rsid w:val="00E2625C"/>
    <w:rsid w:val="00E26941"/>
    <w:rsid w:val="00E26B33"/>
    <w:rsid w:val="00E26B7A"/>
    <w:rsid w:val="00E26CE2"/>
    <w:rsid w:val="00E26DDD"/>
    <w:rsid w:val="00E27082"/>
    <w:rsid w:val="00E270D9"/>
    <w:rsid w:val="00E2754C"/>
    <w:rsid w:val="00E2790B"/>
    <w:rsid w:val="00E279F7"/>
    <w:rsid w:val="00E27AED"/>
    <w:rsid w:val="00E27BB8"/>
    <w:rsid w:val="00E27BD1"/>
    <w:rsid w:val="00E27BDC"/>
    <w:rsid w:val="00E27CD3"/>
    <w:rsid w:val="00E27D8A"/>
    <w:rsid w:val="00E27D8C"/>
    <w:rsid w:val="00E27E2A"/>
    <w:rsid w:val="00E27F17"/>
    <w:rsid w:val="00E27F30"/>
    <w:rsid w:val="00E30256"/>
    <w:rsid w:val="00E3034A"/>
    <w:rsid w:val="00E3059B"/>
    <w:rsid w:val="00E30689"/>
    <w:rsid w:val="00E30746"/>
    <w:rsid w:val="00E30914"/>
    <w:rsid w:val="00E3098F"/>
    <w:rsid w:val="00E30A81"/>
    <w:rsid w:val="00E30B08"/>
    <w:rsid w:val="00E30BD5"/>
    <w:rsid w:val="00E30BDF"/>
    <w:rsid w:val="00E30C20"/>
    <w:rsid w:val="00E30D0B"/>
    <w:rsid w:val="00E30E30"/>
    <w:rsid w:val="00E30E5C"/>
    <w:rsid w:val="00E3143F"/>
    <w:rsid w:val="00E314D2"/>
    <w:rsid w:val="00E317A1"/>
    <w:rsid w:val="00E31990"/>
    <w:rsid w:val="00E31A4D"/>
    <w:rsid w:val="00E31CA5"/>
    <w:rsid w:val="00E31DA4"/>
    <w:rsid w:val="00E31FA4"/>
    <w:rsid w:val="00E32059"/>
    <w:rsid w:val="00E321FF"/>
    <w:rsid w:val="00E32429"/>
    <w:rsid w:val="00E32488"/>
    <w:rsid w:val="00E32624"/>
    <w:rsid w:val="00E3274B"/>
    <w:rsid w:val="00E32949"/>
    <w:rsid w:val="00E32990"/>
    <w:rsid w:val="00E3299B"/>
    <w:rsid w:val="00E32A40"/>
    <w:rsid w:val="00E32BD1"/>
    <w:rsid w:val="00E32E6E"/>
    <w:rsid w:val="00E336A8"/>
    <w:rsid w:val="00E336E3"/>
    <w:rsid w:val="00E33A08"/>
    <w:rsid w:val="00E33B21"/>
    <w:rsid w:val="00E33B76"/>
    <w:rsid w:val="00E33C21"/>
    <w:rsid w:val="00E33F4B"/>
    <w:rsid w:val="00E34191"/>
    <w:rsid w:val="00E34209"/>
    <w:rsid w:val="00E3433E"/>
    <w:rsid w:val="00E34573"/>
    <w:rsid w:val="00E34643"/>
    <w:rsid w:val="00E34812"/>
    <w:rsid w:val="00E34CD7"/>
    <w:rsid w:val="00E34CFD"/>
    <w:rsid w:val="00E34FC0"/>
    <w:rsid w:val="00E35035"/>
    <w:rsid w:val="00E35125"/>
    <w:rsid w:val="00E352C1"/>
    <w:rsid w:val="00E35310"/>
    <w:rsid w:val="00E35458"/>
    <w:rsid w:val="00E354B0"/>
    <w:rsid w:val="00E354FD"/>
    <w:rsid w:val="00E3558C"/>
    <w:rsid w:val="00E355EF"/>
    <w:rsid w:val="00E35925"/>
    <w:rsid w:val="00E359BE"/>
    <w:rsid w:val="00E35BA5"/>
    <w:rsid w:val="00E35D8E"/>
    <w:rsid w:val="00E35FF4"/>
    <w:rsid w:val="00E3618A"/>
    <w:rsid w:val="00E361D5"/>
    <w:rsid w:val="00E3691D"/>
    <w:rsid w:val="00E36A57"/>
    <w:rsid w:val="00E36BF0"/>
    <w:rsid w:val="00E36CBF"/>
    <w:rsid w:val="00E36D30"/>
    <w:rsid w:val="00E36DB2"/>
    <w:rsid w:val="00E36DC3"/>
    <w:rsid w:val="00E36E16"/>
    <w:rsid w:val="00E36E67"/>
    <w:rsid w:val="00E37058"/>
    <w:rsid w:val="00E371D6"/>
    <w:rsid w:val="00E375C1"/>
    <w:rsid w:val="00E37650"/>
    <w:rsid w:val="00E37731"/>
    <w:rsid w:val="00E37AD5"/>
    <w:rsid w:val="00E37B5C"/>
    <w:rsid w:val="00E37C66"/>
    <w:rsid w:val="00E37F57"/>
    <w:rsid w:val="00E4021C"/>
    <w:rsid w:val="00E402D0"/>
    <w:rsid w:val="00E4030C"/>
    <w:rsid w:val="00E4054C"/>
    <w:rsid w:val="00E406F2"/>
    <w:rsid w:val="00E40770"/>
    <w:rsid w:val="00E407C7"/>
    <w:rsid w:val="00E407D6"/>
    <w:rsid w:val="00E40C60"/>
    <w:rsid w:val="00E40CAB"/>
    <w:rsid w:val="00E40E6D"/>
    <w:rsid w:val="00E40F63"/>
    <w:rsid w:val="00E41016"/>
    <w:rsid w:val="00E41101"/>
    <w:rsid w:val="00E4111D"/>
    <w:rsid w:val="00E415C0"/>
    <w:rsid w:val="00E415D3"/>
    <w:rsid w:val="00E4165D"/>
    <w:rsid w:val="00E4199C"/>
    <w:rsid w:val="00E41A87"/>
    <w:rsid w:val="00E41B30"/>
    <w:rsid w:val="00E41CA8"/>
    <w:rsid w:val="00E41DEB"/>
    <w:rsid w:val="00E422CF"/>
    <w:rsid w:val="00E42465"/>
    <w:rsid w:val="00E4276A"/>
    <w:rsid w:val="00E42866"/>
    <w:rsid w:val="00E4294A"/>
    <w:rsid w:val="00E42B2E"/>
    <w:rsid w:val="00E42B37"/>
    <w:rsid w:val="00E42F80"/>
    <w:rsid w:val="00E4305B"/>
    <w:rsid w:val="00E43064"/>
    <w:rsid w:val="00E43204"/>
    <w:rsid w:val="00E43349"/>
    <w:rsid w:val="00E4337D"/>
    <w:rsid w:val="00E43486"/>
    <w:rsid w:val="00E43538"/>
    <w:rsid w:val="00E43572"/>
    <w:rsid w:val="00E43B2B"/>
    <w:rsid w:val="00E43FCB"/>
    <w:rsid w:val="00E4408F"/>
    <w:rsid w:val="00E44280"/>
    <w:rsid w:val="00E44320"/>
    <w:rsid w:val="00E44922"/>
    <w:rsid w:val="00E449FA"/>
    <w:rsid w:val="00E44AC4"/>
    <w:rsid w:val="00E44C13"/>
    <w:rsid w:val="00E44C58"/>
    <w:rsid w:val="00E44CE3"/>
    <w:rsid w:val="00E45091"/>
    <w:rsid w:val="00E4512A"/>
    <w:rsid w:val="00E45146"/>
    <w:rsid w:val="00E455B9"/>
    <w:rsid w:val="00E45782"/>
    <w:rsid w:val="00E45799"/>
    <w:rsid w:val="00E458B5"/>
    <w:rsid w:val="00E45B2A"/>
    <w:rsid w:val="00E45CB8"/>
    <w:rsid w:val="00E45CC7"/>
    <w:rsid w:val="00E45D01"/>
    <w:rsid w:val="00E45D30"/>
    <w:rsid w:val="00E45DAD"/>
    <w:rsid w:val="00E45DEE"/>
    <w:rsid w:val="00E45FDE"/>
    <w:rsid w:val="00E45FF5"/>
    <w:rsid w:val="00E46056"/>
    <w:rsid w:val="00E46153"/>
    <w:rsid w:val="00E4615C"/>
    <w:rsid w:val="00E462E3"/>
    <w:rsid w:val="00E465F5"/>
    <w:rsid w:val="00E4695B"/>
    <w:rsid w:val="00E46D3A"/>
    <w:rsid w:val="00E46D9A"/>
    <w:rsid w:val="00E47164"/>
    <w:rsid w:val="00E471D4"/>
    <w:rsid w:val="00E472DF"/>
    <w:rsid w:val="00E4730C"/>
    <w:rsid w:val="00E4743F"/>
    <w:rsid w:val="00E474F3"/>
    <w:rsid w:val="00E47A75"/>
    <w:rsid w:val="00E47F1E"/>
    <w:rsid w:val="00E50198"/>
    <w:rsid w:val="00E5024B"/>
    <w:rsid w:val="00E502AF"/>
    <w:rsid w:val="00E502E2"/>
    <w:rsid w:val="00E50474"/>
    <w:rsid w:val="00E5072F"/>
    <w:rsid w:val="00E5085C"/>
    <w:rsid w:val="00E5087A"/>
    <w:rsid w:val="00E50B02"/>
    <w:rsid w:val="00E50C1A"/>
    <w:rsid w:val="00E50D1B"/>
    <w:rsid w:val="00E50DF3"/>
    <w:rsid w:val="00E50EAC"/>
    <w:rsid w:val="00E51196"/>
    <w:rsid w:val="00E511C5"/>
    <w:rsid w:val="00E51374"/>
    <w:rsid w:val="00E514F0"/>
    <w:rsid w:val="00E5168C"/>
    <w:rsid w:val="00E51770"/>
    <w:rsid w:val="00E51A15"/>
    <w:rsid w:val="00E51EC8"/>
    <w:rsid w:val="00E51EF2"/>
    <w:rsid w:val="00E51FFF"/>
    <w:rsid w:val="00E521D8"/>
    <w:rsid w:val="00E522E3"/>
    <w:rsid w:val="00E5254B"/>
    <w:rsid w:val="00E525A3"/>
    <w:rsid w:val="00E5262E"/>
    <w:rsid w:val="00E526C1"/>
    <w:rsid w:val="00E527DB"/>
    <w:rsid w:val="00E5293B"/>
    <w:rsid w:val="00E52BC6"/>
    <w:rsid w:val="00E52D0B"/>
    <w:rsid w:val="00E52EE4"/>
    <w:rsid w:val="00E53406"/>
    <w:rsid w:val="00E5347B"/>
    <w:rsid w:val="00E534FE"/>
    <w:rsid w:val="00E537C2"/>
    <w:rsid w:val="00E538AA"/>
    <w:rsid w:val="00E53915"/>
    <w:rsid w:val="00E5393D"/>
    <w:rsid w:val="00E53AB9"/>
    <w:rsid w:val="00E53FB7"/>
    <w:rsid w:val="00E541EB"/>
    <w:rsid w:val="00E544F9"/>
    <w:rsid w:val="00E54570"/>
    <w:rsid w:val="00E546B8"/>
    <w:rsid w:val="00E546E3"/>
    <w:rsid w:val="00E5495B"/>
    <w:rsid w:val="00E54A36"/>
    <w:rsid w:val="00E54E3A"/>
    <w:rsid w:val="00E5507F"/>
    <w:rsid w:val="00E552F9"/>
    <w:rsid w:val="00E55441"/>
    <w:rsid w:val="00E55456"/>
    <w:rsid w:val="00E555F8"/>
    <w:rsid w:val="00E557BE"/>
    <w:rsid w:val="00E55A29"/>
    <w:rsid w:val="00E55C70"/>
    <w:rsid w:val="00E55CB2"/>
    <w:rsid w:val="00E55E6A"/>
    <w:rsid w:val="00E56328"/>
    <w:rsid w:val="00E563B7"/>
    <w:rsid w:val="00E5640F"/>
    <w:rsid w:val="00E567E8"/>
    <w:rsid w:val="00E568A4"/>
    <w:rsid w:val="00E56912"/>
    <w:rsid w:val="00E5696E"/>
    <w:rsid w:val="00E56BE2"/>
    <w:rsid w:val="00E56CF2"/>
    <w:rsid w:val="00E56DF7"/>
    <w:rsid w:val="00E56F55"/>
    <w:rsid w:val="00E57105"/>
    <w:rsid w:val="00E571A1"/>
    <w:rsid w:val="00E572AE"/>
    <w:rsid w:val="00E57349"/>
    <w:rsid w:val="00E57470"/>
    <w:rsid w:val="00E57595"/>
    <w:rsid w:val="00E5760E"/>
    <w:rsid w:val="00E57830"/>
    <w:rsid w:val="00E57CFE"/>
    <w:rsid w:val="00E57F91"/>
    <w:rsid w:val="00E600EA"/>
    <w:rsid w:val="00E60179"/>
    <w:rsid w:val="00E60198"/>
    <w:rsid w:val="00E602C3"/>
    <w:rsid w:val="00E603FD"/>
    <w:rsid w:val="00E60562"/>
    <w:rsid w:val="00E6069F"/>
    <w:rsid w:val="00E607EB"/>
    <w:rsid w:val="00E60809"/>
    <w:rsid w:val="00E60A4B"/>
    <w:rsid w:val="00E60BE6"/>
    <w:rsid w:val="00E60F22"/>
    <w:rsid w:val="00E60FDA"/>
    <w:rsid w:val="00E61001"/>
    <w:rsid w:val="00E61002"/>
    <w:rsid w:val="00E61009"/>
    <w:rsid w:val="00E610D0"/>
    <w:rsid w:val="00E6128A"/>
    <w:rsid w:val="00E61333"/>
    <w:rsid w:val="00E6136E"/>
    <w:rsid w:val="00E61554"/>
    <w:rsid w:val="00E617CF"/>
    <w:rsid w:val="00E61847"/>
    <w:rsid w:val="00E61A83"/>
    <w:rsid w:val="00E61A96"/>
    <w:rsid w:val="00E61B9B"/>
    <w:rsid w:val="00E61F55"/>
    <w:rsid w:val="00E6262D"/>
    <w:rsid w:val="00E626A2"/>
    <w:rsid w:val="00E628F9"/>
    <w:rsid w:val="00E62962"/>
    <w:rsid w:val="00E62AAF"/>
    <w:rsid w:val="00E62C34"/>
    <w:rsid w:val="00E62C39"/>
    <w:rsid w:val="00E63082"/>
    <w:rsid w:val="00E6309B"/>
    <w:rsid w:val="00E6317B"/>
    <w:rsid w:val="00E6322A"/>
    <w:rsid w:val="00E63235"/>
    <w:rsid w:val="00E6349E"/>
    <w:rsid w:val="00E6398E"/>
    <w:rsid w:val="00E63B33"/>
    <w:rsid w:val="00E63B83"/>
    <w:rsid w:val="00E63C2E"/>
    <w:rsid w:val="00E63EAF"/>
    <w:rsid w:val="00E64059"/>
    <w:rsid w:val="00E6408B"/>
    <w:rsid w:val="00E642D3"/>
    <w:rsid w:val="00E6452F"/>
    <w:rsid w:val="00E64CEE"/>
    <w:rsid w:val="00E64F11"/>
    <w:rsid w:val="00E651D2"/>
    <w:rsid w:val="00E6557C"/>
    <w:rsid w:val="00E65688"/>
    <w:rsid w:val="00E65738"/>
    <w:rsid w:val="00E65BF8"/>
    <w:rsid w:val="00E65CE6"/>
    <w:rsid w:val="00E664B2"/>
    <w:rsid w:val="00E66627"/>
    <w:rsid w:val="00E66638"/>
    <w:rsid w:val="00E6663B"/>
    <w:rsid w:val="00E66830"/>
    <w:rsid w:val="00E66852"/>
    <w:rsid w:val="00E66997"/>
    <w:rsid w:val="00E66C10"/>
    <w:rsid w:val="00E66C47"/>
    <w:rsid w:val="00E66EF8"/>
    <w:rsid w:val="00E66F7B"/>
    <w:rsid w:val="00E6701A"/>
    <w:rsid w:val="00E67358"/>
    <w:rsid w:val="00E67552"/>
    <w:rsid w:val="00E675D5"/>
    <w:rsid w:val="00E67632"/>
    <w:rsid w:val="00E6786A"/>
    <w:rsid w:val="00E678F1"/>
    <w:rsid w:val="00E67B47"/>
    <w:rsid w:val="00E67BCF"/>
    <w:rsid w:val="00E67E64"/>
    <w:rsid w:val="00E67F3E"/>
    <w:rsid w:val="00E67F8B"/>
    <w:rsid w:val="00E703A1"/>
    <w:rsid w:val="00E70432"/>
    <w:rsid w:val="00E70696"/>
    <w:rsid w:val="00E7075D"/>
    <w:rsid w:val="00E707BE"/>
    <w:rsid w:val="00E70C9C"/>
    <w:rsid w:val="00E71280"/>
    <w:rsid w:val="00E7157B"/>
    <w:rsid w:val="00E7163E"/>
    <w:rsid w:val="00E71733"/>
    <w:rsid w:val="00E7190B"/>
    <w:rsid w:val="00E71A16"/>
    <w:rsid w:val="00E71A2A"/>
    <w:rsid w:val="00E71B3C"/>
    <w:rsid w:val="00E7218C"/>
    <w:rsid w:val="00E72417"/>
    <w:rsid w:val="00E724AD"/>
    <w:rsid w:val="00E72505"/>
    <w:rsid w:val="00E7279B"/>
    <w:rsid w:val="00E7286D"/>
    <w:rsid w:val="00E728F1"/>
    <w:rsid w:val="00E729FF"/>
    <w:rsid w:val="00E72B1A"/>
    <w:rsid w:val="00E72B2D"/>
    <w:rsid w:val="00E735C3"/>
    <w:rsid w:val="00E737F1"/>
    <w:rsid w:val="00E73926"/>
    <w:rsid w:val="00E73A23"/>
    <w:rsid w:val="00E73A28"/>
    <w:rsid w:val="00E73C8C"/>
    <w:rsid w:val="00E73D59"/>
    <w:rsid w:val="00E73DE1"/>
    <w:rsid w:val="00E74145"/>
    <w:rsid w:val="00E74197"/>
    <w:rsid w:val="00E74548"/>
    <w:rsid w:val="00E7454E"/>
    <w:rsid w:val="00E74589"/>
    <w:rsid w:val="00E74979"/>
    <w:rsid w:val="00E74AAC"/>
    <w:rsid w:val="00E74AEC"/>
    <w:rsid w:val="00E74B97"/>
    <w:rsid w:val="00E74C28"/>
    <w:rsid w:val="00E74D17"/>
    <w:rsid w:val="00E74DB9"/>
    <w:rsid w:val="00E74F4A"/>
    <w:rsid w:val="00E7515B"/>
    <w:rsid w:val="00E7528E"/>
    <w:rsid w:val="00E753AE"/>
    <w:rsid w:val="00E7548D"/>
    <w:rsid w:val="00E75730"/>
    <w:rsid w:val="00E75986"/>
    <w:rsid w:val="00E75AFA"/>
    <w:rsid w:val="00E75FBD"/>
    <w:rsid w:val="00E76271"/>
    <w:rsid w:val="00E762B4"/>
    <w:rsid w:val="00E7637F"/>
    <w:rsid w:val="00E7646A"/>
    <w:rsid w:val="00E7663B"/>
    <w:rsid w:val="00E76886"/>
    <w:rsid w:val="00E76A0D"/>
    <w:rsid w:val="00E76C99"/>
    <w:rsid w:val="00E76D53"/>
    <w:rsid w:val="00E76D5F"/>
    <w:rsid w:val="00E76E42"/>
    <w:rsid w:val="00E7714C"/>
    <w:rsid w:val="00E7716B"/>
    <w:rsid w:val="00E774EF"/>
    <w:rsid w:val="00E7756E"/>
    <w:rsid w:val="00E77598"/>
    <w:rsid w:val="00E775E5"/>
    <w:rsid w:val="00E77681"/>
    <w:rsid w:val="00E77895"/>
    <w:rsid w:val="00E77AC2"/>
    <w:rsid w:val="00E77B79"/>
    <w:rsid w:val="00E77F57"/>
    <w:rsid w:val="00E801B9"/>
    <w:rsid w:val="00E801BD"/>
    <w:rsid w:val="00E80242"/>
    <w:rsid w:val="00E8024C"/>
    <w:rsid w:val="00E803E7"/>
    <w:rsid w:val="00E8065B"/>
    <w:rsid w:val="00E808D7"/>
    <w:rsid w:val="00E8092F"/>
    <w:rsid w:val="00E8098C"/>
    <w:rsid w:val="00E80C24"/>
    <w:rsid w:val="00E80D54"/>
    <w:rsid w:val="00E80F99"/>
    <w:rsid w:val="00E8117B"/>
    <w:rsid w:val="00E81191"/>
    <w:rsid w:val="00E811A0"/>
    <w:rsid w:val="00E8121E"/>
    <w:rsid w:val="00E8147B"/>
    <w:rsid w:val="00E814C5"/>
    <w:rsid w:val="00E81583"/>
    <w:rsid w:val="00E8159C"/>
    <w:rsid w:val="00E81843"/>
    <w:rsid w:val="00E81859"/>
    <w:rsid w:val="00E81C6C"/>
    <w:rsid w:val="00E81C9B"/>
    <w:rsid w:val="00E81CE8"/>
    <w:rsid w:val="00E81F29"/>
    <w:rsid w:val="00E81F8C"/>
    <w:rsid w:val="00E82168"/>
    <w:rsid w:val="00E821BE"/>
    <w:rsid w:val="00E823F3"/>
    <w:rsid w:val="00E8246A"/>
    <w:rsid w:val="00E825F9"/>
    <w:rsid w:val="00E8271B"/>
    <w:rsid w:val="00E827AF"/>
    <w:rsid w:val="00E828BC"/>
    <w:rsid w:val="00E82B7E"/>
    <w:rsid w:val="00E82C39"/>
    <w:rsid w:val="00E82E11"/>
    <w:rsid w:val="00E83034"/>
    <w:rsid w:val="00E83243"/>
    <w:rsid w:val="00E832A7"/>
    <w:rsid w:val="00E8343A"/>
    <w:rsid w:val="00E83445"/>
    <w:rsid w:val="00E836AA"/>
    <w:rsid w:val="00E83AC5"/>
    <w:rsid w:val="00E83B06"/>
    <w:rsid w:val="00E83EF2"/>
    <w:rsid w:val="00E83FB8"/>
    <w:rsid w:val="00E84028"/>
    <w:rsid w:val="00E84199"/>
    <w:rsid w:val="00E841B8"/>
    <w:rsid w:val="00E841D0"/>
    <w:rsid w:val="00E84249"/>
    <w:rsid w:val="00E8428C"/>
    <w:rsid w:val="00E8443A"/>
    <w:rsid w:val="00E8459A"/>
    <w:rsid w:val="00E849D4"/>
    <w:rsid w:val="00E84AC5"/>
    <w:rsid w:val="00E84C44"/>
    <w:rsid w:val="00E84F53"/>
    <w:rsid w:val="00E85210"/>
    <w:rsid w:val="00E85290"/>
    <w:rsid w:val="00E854FA"/>
    <w:rsid w:val="00E8554D"/>
    <w:rsid w:val="00E85720"/>
    <w:rsid w:val="00E85945"/>
    <w:rsid w:val="00E859F0"/>
    <w:rsid w:val="00E85E88"/>
    <w:rsid w:val="00E85EB8"/>
    <w:rsid w:val="00E8606A"/>
    <w:rsid w:val="00E862B1"/>
    <w:rsid w:val="00E8633A"/>
    <w:rsid w:val="00E864CC"/>
    <w:rsid w:val="00E866D1"/>
    <w:rsid w:val="00E867DA"/>
    <w:rsid w:val="00E86820"/>
    <w:rsid w:val="00E86859"/>
    <w:rsid w:val="00E868C5"/>
    <w:rsid w:val="00E8698B"/>
    <w:rsid w:val="00E8699F"/>
    <w:rsid w:val="00E869CB"/>
    <w:rsid w:val="00E86D2C"/>
    <w:rsid w:val="00E86D92"/>
    <w:rsid w:val="00E86EE5"/>
    <w:rsid w:val="00E86F9A"/>
    <w:rsid w:val="00E8735A"/>
    <w:rsid w:val="00E873AC"/>
    <w:rsid w:val="00E8744D"/>
    <w:rsid w:val="00E874A7"/>
    <w:rsid w:val="00E87830"/>
    <w:rsid w:val="00E878FC"/>
    <w:rsid w:val="00E87C7E"/>
    <w:rsid w:val="00E87CC9"/>
    <w:rsid w:val="00E87FF5"/>
    <w:rsid w:val="00E90068"/>
    <w:rsid w:val="00E90148"/>
    <w:rsid w:val="00E901E9"/>
    <w:rsid w:val="00E908C5"/>
    <w:rsid w:val="00E90926"/>
    <w:rsid w:val="00E90A23"/>
    <w:rsid w:val="00E90E60"/>
    <w:rsid w:val="00E90E73"/>
    <w:rsid w:val="00E90EBF"/>
    <w:rsid w:val="00E912E8"/>
    <w:rsid w:val="00E91433"/>
    <w:rsid w:val="00E914DE"/>
    <w:rsid w:val="00E916EB"/>
    <w:rsid w:val="00E917D9"/>
    <w:rsid w:val="00E91A29"/>
    <w:rsid w:val="00E91BB0"/>
    <w:rsid w:val="00E91D0F"/>
    <w:rsid w:val="00E921B5"/>
    <w:rsid w:val="00E922BC"/>
    <w:rsid w:val="00E92449"/>
    <w:rsid w:val="00E926D8"/>
    <w:rsid w:val="00E929F1"/>
    <w:rsid w:val="00E92A19"/>
    <w:rsid w:val="00E92B83"/>
    <w:rsid w:val="00E93442"/>
    <w:rsid w:val="00E934E3"/>
    <w:rsid w:val="00E93528"/>
    <w:rsid w:val="00E937AC"/>
    <w:rsid w:val="00E93802"/>
    <w:rsid w:val="00E9389D"/>
    <w:rsid w:val="00E939C7"/>
    <w:rsid w:val="00E93A4A"/>
    <w:rsid w:val="00E93A6E"/>
    <w:rsid w:val="00E93C25"/>
    <w:rsid w:val="00E94304"/>
    <w:rsid w:val="00E94447"/>
    <w:rsid w:val="00E944F2"/>
    <w:rsid w:val="00E945ED"/>
    <w:rsid w:val="00E94672"/>
    <w:rsid w:val="00E946FD"/>
    <w:rsid w:val="00E948CE"/>
    <w:rsid w:val="00E94D12"/>
    <w:rsid w:val="00E94D1C"/>
    <w:rsid w:val="00E951DE"/>
    <w:rsid w:val="00E95325"/>
    <w:rsid w:val="00E953AB"/>
    <w:rsid w:val="00E956CF"/>
    <w:rsid w:val="00E958D2"/>
    <w:rsid w:val="00E9598B"/>
    <w:rsid w:val="00E95C52"/>
    <w:rsid w:val="00E95CC3"/>
    <w:rsid w:val="00E95D8D"/>
    <w:rsid w:val="00E95D9F"/>
    <w:rsid w:val="00E95E44"/>
    <w:rsid w:val="00E9617A"/>
    <w:rsid w:val="00E96267"/>
    <w:rsid w:val="00E963B2"/>
    <w:rsid w:val="00E965F0"/>
    <w:rsid w:val="00E96616"/>
    <w:rsid w:val="00E96736"/>
    <w:rsid w:val="00E968DF"/>
    <w:rsid w:val="00E969B8"/>
    <w:rsid w:val="00E96AC8"/>
    <w:rsid w:val="00E96E88"/>
    <w:rsid w:val="00E96F00"/>
    <w:rsid w:val="00E96F62"/>
    <w:rsid w:val="00E96FEA"/>
    <w:rsid w:val="00E970E7"/>
    <w:rsid w:val="00E97139"/>
    <w:rsid w:val="00E973C0"/>
    <w:rsid w:val="00E97806"/>
    <w:rsid w:val="00E97BA8"/>
    <w:rsid w:val="00E97BB7"/>
    <w:rsid w:val="00E97C44"/>
    <w:rsid w:val="00E97CB3"/>
    <w:rsid w:val="00E97D56"/>
    <w:rsid w:val="00EA0188"/>
    <w:rsid w:val="00EA0282"/>
    <w:rsid w:val="00EA04B2"/>
    <w:rsid w:val="00EA08BE"/>
    <w:rsid w:val="00EA0978"/>
    <w:rsid w:val="00EA0C99"/>
    <w:rsid w:val="00EA1274"/>
    <w:rsid w:val="00EA13BC"/>
    <w:rsid w:val="00EA14C6"/>
    <w:rsid w:val="00EA14DD"/>
    <w:rsid w:val="00EA1539"/>
    <w:rsid w:val="00EA1955"/>
    <w:rsid w:val="00EA197C"/>
    <w:rsid w:val="00EA1CB7"/>
    <w:rsid w:val="00EA2003"/>
    <w:rsid w:val="00EA20B4"/>
    <w:rsid w:val="00EA2122"/>
    <w:rsid w:val="00EA234D"/>
    <w:rsid w:val="00EA2631"/>
    <w:rsid w:val="00EA2785"/>
    <w:rsid w:val="00EA2844"/>
    <w:rsid w:val="00EA2866"/>
    <w:rsid w:val="00EA2CF8"/>
    <w:rsid w:val="00EA2D06"/>
    <w:rsid w:val="00EA2FEE"/>
    <w:rsid w:val="00EA2FFD"/>
    <w:rsid w:val="00EA325E"/>
    <w:rsid w:val="00EA32F5"/>
    <w:rsid w:val="00EA33C3"/>
    <w:rsid w:val="00EA3604"/>
    <w:rsid w:val="00EA3647"/>
    <w:rsid w:val="00EA369D"/>
    <w:rsid w:val="00EA3ACB"/>
    <w:rsid w:val="00EA3C8B"/>
    <w:rsid w:val="00EA3F3E"/>
    <w:rsid w:val="00EA4088"/>
    <w:rsid w:val="00EA43BB"/>
    <w:rsid w:val="00EA46A7"/>
    <w:rsid w:val="00EA47D9"/>
    <w:rsid w:val="00EA48E6"/>
    <w:rsid w:val="00EA4A3F"/>
    <w:rsid w:val="00EA4C83"/>
    <w:rsid w:val="00EA514A"/>
    <w:rsid w:val="00EA532E"/>
    <w:rsid w:val="00EA5430"/>
    <w:rsid w:val="00EA5460"/>
    <w:rsid w:val="00EA5500"/>
    <w:rsid w:val="00EA56DE"/>
    <w:rsid w:val="00EA570E"/>
    <w:rsid w:val="00EA5886"/>
    <w:rsid w:val="00EA5A2E"/>
    <w:rsid w:val="00EA5A72"/>
    <w:rsid w:val="00EA5F52"/>
    <w:rsid w:val="00EA5F61"/>
    <w:rsid w:val="00EA6071"/>
    <w:rsid w:val="00EA61DA"/>
    <w:rsid w:val="00EA63C8"/>
    <w:rsid w:val="00EA63DB"/>
    <w:rsid w:val="00EA64D3"/>
    <w:rsid w:val="00EA653D"/>
    <w:rsid w:val="00EA6555"/>
    <w:rsid w:val="00EA6723"/>
    <w:rsid w:val="00EA6D4A"/>
    <w:rsid w:val="00EA720A"/>
    <w:rsid w:val="00EA78D0"/>
    <w:rsid w:val="00EA7AE6"/>
    <w:rsid w:val="00EA7B95"/>
    <w:rsid w:val="00EA7CC3"/>
    <w:rsid w:val="00EA7D83"/>
    <w:rsid w:val="00EA7E16"/>
    <w:rsid w:val="00EB0187"/>
    <w:rsid w:val="00EB0308"/>
    <w:rsid w:val="00EB04FF"/>
    <w:rsid w:val="00EB06DC"/>
    <w:rsid w:val="00EB093E"/>
    <w:rsid w:val="00EB0AEF"/>
    <w:rsid w:val="00EB0B52"/>
    <w:rsid w:val="00EB0D6C"/>
    <w:rsid w:val="00EB0FD7"/>
    <w:rsid w:val="00EB10F9"/>
    <w:rsid w:val="00EB134B"/>
    <w:rsid w:val="00EB140C"/>
    <w:rsid w:val="00EB1542"/>
    <w:rsid w:val="00EB15EA"/>
    <w:rsid w:val="00EB16B2"/>
    <w:rsid w:val="00EB1760"/>
    <w:rsid w:val="00EB17DB"/>
    <w:rsid w:val="00EB1BD9"/>
    <w:rsid w:val="00EB2003"/>
    <w:rsid w:val="00EB2186"/>
    <w:rsid w:val="00EB21C1"/>
    <w:rsid w:val="00EB24CE"/>
    <w:rsid w:val="00EB2557"/>
    <w:rsid w:val="00EB255D"/>
    <w:rsid w:val="00EB2702"/>
    <w:rsid w:val="00EB2B65"/>
    <w:rsid w:val="00EB2C0E"/>
    <w:rsid w:val="00EB2C13"/>
    <w:rsid w:val="00EB2CA9"/>
    <w:rsid w:val="00EB2F22"/>
    <w:rsid w:val="00EB3055"/>
    <w:rsid w:val="00EB31BD"/>
    <w:rsid w:val="00EB3391"/>
    <w:rsid w:val="00EB3428"/>
    <w:rsid w:val="00EB3816"/>
    <w:rsid w:val="00EB383E"/>
    <w:rsid w:val="00EB38B0"/>
    <w:rsid w:val="00EB39D3"/>
    <w:rsid w:val="00EB3D47"/>
    <w:rsid w:val="00EB44D2"/>
    <w:rsid w:val="00EB45A5"/>
    <w:rsid w:val="00EB46FA"/>
    <w:rsid w:val="00EB472E"/>
    <w:rsid w:val="00EB48B7"/>
    <w:rsid w:val="00EB49DB"/>
    <w:rsid w:val="00EB4D1B"/>
    <w:rsid w:val="00EB5043"/>
    <w:rsid w:val="00EB508A"/>
    <w:rsid w:val="00EB50B1"/>
    <w:rsid w:val="00EB5194"/>
    <w:rsid w:val="00EB525C"/>
    <w:rsid w:val="00EB564A"/>
    <w:rsid w:val="00EB566E"/>
    <w:rsid w:val="00EB56C7"/>
    <w:rsid w:val="00EB59F4"/>
    <w:rsid w:val="00EB5A02"/>
    <w:rsid w:val="00EB5A10"/>
    <w:rsid w:val="00EB5B09"/>
    <w:rsid w:val="00EB5F4E"/>
    <w:rsid w:val="00EB5F82"/>
    <w:rsid w:val="00EB60D1"/>
    <w:rsid w:val="00EB6211"/>
    <w:rsid w:val="00EB62C0"/>
    <w:rsid w:val="00EB6368"/>
    <w:rsid w:val="00EB6507"/>
    <w:rsid w:val="00EB6A1E"/>
    <w:rsid w:val="00EB6B02"/>
    <w:rsid w:val="00EB6E26"/>
    <w:rsid w:val="00EB6E44"/>
    <w:rsid w:val="00EB7040"/>
    <w:rsid w:val="00EB7122"/>
    <w:rsid w:val="00EB72D6"/>
    <w:rsid w:val="00EB7333"/>
    <w:rsid w:val="00EB7336"/>
    <w:rsid w:val="00EB7644"/>
    <w:rsid w:val="00EB766B"/>
    <w:rsid w:val="00EB789B"/>
    <w:rsid w:val="00EB7E22"/>
    <w:rsid w:val="00EB7EA5"/>
    <w:rsid w:val="00EB7EB6"/>
    <w:rsid w:val="00EB7FCB"/>
    <w:rsid w:val="00EC0047"/>
    <w:rsid w:val="00EC014D"/>
    <w:rsid w:val="00EC04F3"/>
    <w:rsid w:val="00EC0592"/>
    <w:rsid w:val="00EC061B"/>
    <w:rsid w:val="00EC08A7"/>
    <w:rsid w:val="00EC0925"/>
    <w:rsid w:val="00EC092C"/>
    <w:rsid w:val="00EC0CDF"/>
    <w:rsid w:val="00EC0EB9"/>
    <w:rsid w:val="00EC1201"/>
    <w:rsid w:val="00EC1259"/>
    <w:rsid w:val="00EC133B"/>
    <w:rsid w:val="00EC1355"/>
    <w:rsid w:val="00EC169A"/>
    <w:rsid w:val="00EC19B6"/>
    <w:rsid w:val="00EC1A0B"/>
    <w:rsid w:val="00EC1AAC"/>
    <w:rsid w:val="00EC1D56"/>
    <w:rsid w:val="00EC1D7B"/>
    <w:rsid w:val="00EC2043"/>
    <w:rsid w:val="00EC20B3"/>
    <w:rsid w:val="00EC223D"/>
    <w:rsid w:val="00EC24EA"/>
    <w:rsid w:val="00EC25F9"/>
    <w:rsid w:val="00EC2825"/>
    <w:rsid w:val="00EC28A3"/>
    <w:rsid w:val="00EC28D3"/>
    <w:rsid w:val="00EC29CA"/>
    <w:rsid w:val="00EC2C27"/>
    <w:rsid w:val="00EC2C99"/>
    <w:rsid w:val="00EC3174"/>
    <w:rsid w:val="00EC32CD"/>
    <w:rsid w:val="00EC3478"/>
    <w:rsid w:val="00EC34C2"/>
    <w:rsid w:val="00EC36C3"/>
    <w:rsid w:val="00EC38A0"/>
    <w:rsid w:val="00EC38F1"/>
    <w:rsid w:val="00EC3A52"/>
    <w:rsid w:val="00EC3A5F"/>
    <w:rsid w:val="00EC4136"/>
    <w:rsid w:val="00EC4561"/>
    <w:rsid w:val="00EC45C4"/>
    <w:rsid w:val="00EC468D"/>
    <w:rsid w:val="00EC4748"/>
    <w:rsid w:val="00EC47AE"/>
    <w:rsid w:val="00EC4855"/>
    <w:rsid w:val="00EC4A02"/>
    <w:rsid w:val="00EC4D7D"/>
    <w:rsid w:val="00EC4EF4"/>
    <w:rsid w:val="00EC5305"/>
    <w:rsid w:val="00EC5337"/>
    <w:rsid w:val="00EC55E2"/>
    <w:rsid w:val="00EC5778"/>
    <w:rsid w:val="00EC5953"/>
    <w:rsid w:val="00EC5985"/>
    <w:rsid w:val="00EC598F"/>
    <w:rsid w:val="00EC5A1E"/>
    <w:rsid w:val="00EC5AEB"/>
    <w:rsid w:val="00EC5C4E"/>
    <w:rsid w:val="00EC5CF3"/>
    <w:rsid w:val="00EC5E0A"/>
    <w:rsid w:val="00EC619B"/>
    <w:rsid w:val="00EC61A2"/>
    <w:rsid w:val="00EC6337"/>
    <w:rsid w:val="00EC64D5"/>
    <w:rsid w:val="00EC6512"/>
    <w:rsid w:val="00EC6774"/>
    <w:rsid w:val="00EC67D4"/>
    <w:rsid w:val="00EC6998"/>
    <w:rsid w:val="00EC6CD1"/>
    <w:rsid w:val="00EC7377"/>
    <w:rsid w:val="00EC7B68"/>
    <w:rsid w:val="00EC7BFB"/>
    <w:rsid w:val="00EC7CB5"/>
    <w:rsid w:val="00EC7D57"/>
    <w:rsid w:val="00EC7E4E"/>
    <w:rsid w:val="00EC7E63"/>
    <w:rsid w:val="00EC7F5D"/>
    <w:rsid w:val="00ED030B"/>
    <w:rsid w:val="00ED0409"/>
    <w:rsid w:val="00ED0661"/>
    <w:rsid w:val="00ED0CCD"/>
    <w:rsid w:val="00ED0F26"/>
    <w:rsid w:val="00ED129A"/>
    <w:rsid w:val="00ED135C"/>
    <w:rsid w:val="00ED1405"/>
    <w:rsid w:val="00ED158F"/>
    <w:rsid w:val="00ED1778"/>
    <w:rsid w:val="00ED18E5"/>
    <w:rsid w:val="00ED1933"/>
    <w:rsid w:val="00ED23B5"/>
    <w:rsid w:val="00ED23E6"/>
    <w:rsid w:val="00ED249E"/>
    <w:rsid w:val="00ED260F"/>
    <w:rsid w:val="00ED285F"/>
    <w:rsid w:val="00ED2BF7"/>
    <w:rsid w:val="00ED3040"/>
    <w:rsid w:val="00ED32C5"/>
    <w:rsid w:val="00ED3402"/>
    <w:rsid w:val="00ED3475"/>
    <w:rsid w:val="00ED3509"/>
    <w:rsid w:val="00ED3583"/>
    <w:rsid w:val="00ED3ABA"/>
    <w:rsid w:val="00ED3AD6"/>
    <w:rsid w:val="00ED3BA6"/>
    <w:rsid w:val="00ED3BCD"/>
    <w:rsid w:val="00ED3C0F"/>
    <w:rsid w:val="00ED3CF5"/>
    <w:rsid w:val="00ED40D6"/>
    <w:rsid w:val="00ED415D"/>
    <w:rsid w:val="00ED427E"/>
    <w:rsid w:val="00ED42AC"/>
    <w:rsid w:val="00ED43AF"/>
    <w:rsid w:val="00ED44CA"/>
    <w:rsid w:val="00ED481A"/>
    <w:rsid w:val="00ED4BC9"/>
    <w:rsid w:val="00ED4C91"/>
    <w:rsid w:val="00ED4D22"/>
    <w:rsid w:val="00ED50ED"/>
    <w:rsid w:val="00ED51E0"/>
    <w:rsid w:val="00ED5265"/>
    <w:rsid w:val="00ED5334"/>
    <w:rsid w:val="00ED54AB"/>
    <w:rsid w:val="00ED54BE"/>
    <w:rsid w:val="00ED5556"/>
    <w:rsid w:val="00ED5A2F"/>
    <w:rsid w:val="00ED5A34"/>
    <w:rsid w:val="00ED5A69"/>
    <w:rsid w:val="00ED5B74"/>
    <w:rsid w:val="00ED5C11"/>
    <w:rsid w:val="00ED5F5D"/>
    <w:rsid w:val="00ED62CA"/>
    <w:rsid w:val="00ED64AC"/>
    <w:rsid w:val="00ED64F7"/>
    <w:rsid w:val="00ED676E"/>
    <w:rsid w:val="00ED6974"/>
    <w:rsid w:val="00ED6A61"/>
    <w:rsid w:val="00ED6B3C"/>
    <w:rsid w:val="00ED718D"/>
    <w:rsid w:val="00ED71BD"/>
    <w:rsid w:val="00ED7216"/>
    <w:rsid w:val="00ED729D"/>
    <w:rsid w:val="00ED7336"/>
    <w:rsid w:val="00ED77F1"/>
    <w:rsid w:val="00ED7960"/>
    <w:rsid w:val="00ED7A9F"/>
    <w:rsid w:val="00ED7EEA"/>
    <w:rsid w:val="00EE0076"/>
    <w:rsid w:val="00EE032F"/>
    <w:rsid w:val="00EE034C"/>
    <w:rsid w:val="00EE040D"/>
    <w:rsid w:val="00EE044A"/>
    <w:rsid w:val="00EE0499"/>
    <w:rsid w:val="00EE080D"/>
    <w:rsid w:val="00EE0AF3"/>
    <w:rsid w:val="00EE0B2D"/>
    <w:rsid w:val="00EE1084"/>
    <w:rsid w:val="00EE1189"/>
    <w:rsid w:val="00EE143F"/>
    <w:rsid w:val="00EE14C9"/>
    <w:rsid w:val="00EE19BC"/>
    <w:rsid w:val="00EE19D1"/>
    <w:rsid w:val="00EE1B46"/>
    <w:rsid w:val="00EE1C09"/>
    <w:rsid w:val="00EE1C1E"/>
    <w:rsid w:val="00EE1DF3"/>
    <w:rsid w:val="00EE1FE4"/>
    <w:rsid w:val="00EE1FE6"/>
    <w:rsid w:val="00EE20EF"/>
    <w:rsid w:val="00EE2151"/>
    <w:rsid w:val="00EE21FC"/>
    <w:rsid w:val="00EE24E5"/>
    <w:rsid w:val="00EE2616"/>
    <w:rsid w:val="00EE26DB"/>
    <w:rsid w:val="00EE27B2"/>
    <w:rsid w:val="00EE28E1"/>
    <w:rsid w:val="00EE2911"/>
    <w:rsid w:val="00EE2922"/>
    <w:rsid w:val="00EE299F"/>
    <w:rsid w:val="00EE2B57"/>
    <w:rsid w:val="00EE2C10"/>
    <w:rsid w:val="00EE2C75"/>
    <w:rsid w:val="00EE2C95"/>
    <w:rsid w:val="00EE2DE0"/>
    <w:rsid w:val="00EE2E23"/>
    <w:rsid w:val="00EE2F6C"/>
    <w:rsid w:val="00EE3090"/>
    <w:rsid w:val="00EE32A5"/>
    <w:rsid w:val="00EE33B4"/>
    <w:rsid w:val="00EE33C5"/>
    <w:rsid w:val="00EE33F6"/>
    <w:rsid w:val="00EE34D9"/>
    <w:rsid w:val="00EE3514"/>
    <w:rsid w:val="00EE35BF"/>
    <w:rsid w:val="00EE35D2"/>
    <w:rsid w:val="00EE3E41"/>
    <w:rsid w:val="00EE40D8"/>
    <w:rsid w:val="00EE425D"/>
    <w:rsid w:val="00EE448E"/>
    <w:rsid w:val="00EE4783"/>
    <w:rsid w:val="00EE47CB"/>
    <w:rsid w:val="00EE4ADE"/>
    <w:rsid w:val="00EE4B0E"/>
    <w:rsid w:val="00EE4B3B"/>
    <w:rsid w:val="00EE4BE3"/>
    <w:rsid w:val="00EE4DFC"/>
    <w:rsid w:val="00EE4E99"/>
    <w:rsid w:val="00EE4E9E"/>
    <w:rsid w:val="00EE510D"/>
    <w:rsid w:val="00EE5137"/>
    <w:rsid w:val="00EE5190"/>
    <w:rsid w:val="00EE5235"/>
    <w:rsid w:val="00EE5338"/>
    <w:rsid w:val="00EE53A6"/>
    <w:rsid w:val="00EE55EA"/>
    <w:rsid w:val="00EE583A"/>
    <w:rsid w:val="00EE5A6E"/>
    <w:rsid w:val="00EE5B03"/>
    <w:rsid w:val="00EE5C6F"/>
    <w:rsid w:val="00EE5E3A"/>
    <w:rsid w:val="00EE5E44"/>
    <w:rsid w:val="00EE6053"/>
    <w:rsid w:val="00EE61DE"/>
    <w:rsid w:val="00EE6250"/>
    <w:rsid w:val="00EE6516"/>
    <w:rsid w:val="00EE68B0"/>
    <w:rsid w:val="00EE69B0"/>
    <w:rsid w:val="00EE6C1C"/>
    <w:rsid w:val="00EE6C22"/>
    <w:rsid w:val="00EE6CA0"/>
    <w:rsid w:val="00EE6DC4"/>
    <w:rsid w:val="00EE6F80"/>
    <w:rsid w:val="00EE6FCA"/>
    <w:rsid w:val="00EE751B"/>
    <w:rsid w:val="00EE75BA"/>
    <w:rsid w:val="00EE75E8"/>
    <w:rsid w:val="00EE7648"/>
    <w:rsid w:val="00EE7753"/>
    <w:rsid w:val="00EE775B"/>
    <w:rsid w:val="00EE791C"/>
    <w:rsid w:val="00EE7A4F"/>
    <w:rsid w:val="00EE7C8A"/>
    <w:rsid w:val="00EE7F02"/>
    <w:rsid w:val="00EE7F42"/>
    <w:rsid w:val="00EF0154"/>
    <w:rsid w:val="00EF0233"/>
    <w:rsid w:val="00EF0385"/>
    <w:rsid w:val="00EF03D7"/>
    <w:rsid w:val="00EF047E"/>
    <w:rsid w:val="00EF057B"/>
    <w:rsid w:val="00EF0610"/>
    <w:rsid w:val="00EF0690"/>
    <w:rsid w:val="00EF06A1"/>
    <w:rsid w:val="00EF070B"/>
    <w:rsid w:val="00EF0961"/>
    <w:rsid w:val="00EF0A4C"/>
    <w:rsid w:val="00EF0C07"/>
    <w:rsid w:val="00EF0CC0"/>
    <w:rsid w:val="00EF1150"/>
    <w:rsid w:val="00EF1274"/>
    <w:rsid w:val="00EF12DB"/>
    <w:rsid w:val="00EF13D4"/>
    <w:rsid w:val="00EF13E1"/>
    <w:rsid w:val="00EF1405"/>
    <w:rsid w:val="00EF1587"/>
    <w:rsid w:val="00EF1C2C"/>
    <w:rsid w:val="00EF1F2B"/>
    <w:rsid w:val="00EF1F95"/>
    <w:rsid w:val="00EF1FB9"/>
    <w:rsid w:val="00EF2056"/>
    <w:rsid w:val="00EF242A"/>
    <w:rsid w:val="00EF242F"/>
    <w:rsid w:val="00EF26A9"/>
    <w:rsid w:val="00EF2A87"/>
    <w:rsid w:val="00EF2DBA"/>
    <w:rsid w:val="00EF2F6C"/>
    <w:rsid w:val="00EF30AF"/>
    <w:rsid w:val="00EF31DE"/>
    <w:rsid w:val="00EF330F"/>
    <w:rsid w:val="00EF33B6"/>
    <w:rsid w:val="00EF34C0"/>
    <w:rsid w:val="00EF3533"/>
    <w:rsid w:val="00EF36D6"/>
    <w:rsid w:val="00EF3702"/>
    <w:rsid w:val="00EF37A6"/>
    <w:rsid w:val="00EF3955"/>
    <w:rsid w:val="00EF3D01"/>
    <w:rsid w:val="00EF3D96"/>
    <w:rsid w:val="00EF3E69"/>
    <w:rsid w:val="00EF3F9A"/>
    <w:rsid w:val="00EF3FE9"/>
    <w:rsid w:val="00EF40E6"/>
    <w:rsid w:val="00EF4248"/>
    <w:rsid w:val="00EF432D"/>
    <w:rsid w:val="00EF4351"/>
    <w:rsid w:val="00EF4391"/>
    <w:rsid w:val="00EF4489"/>
    <w:rsid w:val="00EF46DF"/>
    <w:rsid w:val="00EF4A39"/>
    <w:rsid w:val="00EF4AAA"/>
    <w:rsid w:val="00EF4F14"/>
    <w:rsid w:val="00EF5036"/>
    <w:rsid w:val="00EF50A6"/>
    <w:rsid w:val="00EF50BE"/>
    <w:rsid w:val="00EF51C5"/>
    <w:rsid w:val="00EF56E3"/>
    <w:rsid w:val="00EF5A44"/>
    <w:rsid w:val="00EF5B85"/>
    <w:rsid w:val="00EF5CA7"/>
    <w:rsid w:val="00EF5E78"/>
    <w:rsid w:val="00EF5F61"/>
    <w:rsid w:val="00EF61F6"/>
    <w:rsid w:val="00EF62D5"/>
    <w:rsid w:val="00EF63D0"/>
    <w:rsid w:val="00EF6404"/>
    <w:rsid w:val="00EF645C"/>
    <w:rsid w:val="00EF65E8"/>
    <w:rsid w:val="00EF6621"/>
    <w:rsid w:val="00EF6677"/>
    <w:rsid w:val="00EF677A"/>
    <w:rsid w:val="00EF6A6C"/>
    <w:rsid w:val="00EF6AF0"/>
    <w:rsid w:val="00EF6EBF"/>
    <w:rsid w:val="00EF730A"/>
    <w:rsid w:val="00EF755D"/>
    <w:rsid w:val="00EF777A"/>
    <w:rsid w:val="00EF79FA"/>
    <w:rsid w:val="00EF7EDD"/>
    <w:rsid w:val="00EF7F0E"/>
    <w:rsid w:val="00EF7FAA"/>
    <w:rsid w:val="00EF7FF6"/>
    <w:rsid w:val="00F00004"/>
    <w:rsid w:val="00F0000F"/>
    <w:rsid w:val="00F000F2"/>
    <w:rsid w:val="00F0025D"/>
    <w:rsid w:val="00F00378"/>
    <w:rsid w:val="00F0048F"/>
    <w:rsid w:val="00F00724"/>
    <w:rsid w:val="00F0098A"/>
    <w:rsid w:val="00F00B00"/>
    <w:rsid w:val="00F00FF5"/>
    <w:rsid w:val="00F01164"/>
    <w:rsid w:val="00F01357"/>
    <w:rsid w:val="00F01648"/>
    <w:rsid w:val="00F01929"/>
    <w:rsid w:val="00F01A99"/>
    <w:rsid w:val="00F01AC6"/>
    <w:rsid w:val="00F01B5B"/>
    <w:rsid w:val="00F01B93"/>
    <w:rsid w:val="00F01EAB"/>
    <w:rsid w:val="00F021F3"/>
    <w:rsid w:val="00F023D3"/>
    <w:rsid w:val="00F023F5"/>
    <w:rsid w:val="00F02542"/>
    <w:rsid w:val="00F02562"/>
    <w:rsid w:val="00F02696"/>
    <w:rsid w:val="00F02780"/>
    <w:rsid w:val="00F0287E"/>
    <w:rsid w:val="00F028F0"/>
    <w:rsid w:val="00F0293B"/>
    <w:rsid w:val="00F02B03"/>
    <w:rsid w:val="00F02B3F"/>
    <w:rsid w:val="00F02C44"/>
    <w:rsid w:val="00F03148"/>
    <w:rsid w:val="00F032A9"/>
    <w:rsid w:val="00F033A7"/>
    <w:rsid w:val="00F03771"/>
    <w:rsid w:val="00F03C0D"/>
    <w:rsid w:val="00F03C5B"/>
    <w:rsid w:val="00F03E47"/>
    <w:rsid w:val="00F03E90"/>
    <w:rsid w:val="00F040EA"/>
    <w:rsid w:val="00F0410D"/>
    <w:rsid w:val="00F04370"/>
    <w:rsid w:val="00F0438E"/>
    <w:rsid w:val="00F044A2"/>
    <w:rsid w:val="00F044A6"/>
    <w:rsid w:val="00F044C1"/>
    <w:rsid w:val="00F04721"/>
    <w:rsid w:val="00F0480E"/>
    <w:rsid w:val="00F04BDD"/>
    <w:rsid w:val="00F05247"/>
    <w:rsid w:val="00F05334"/>
    <w:rsid w:val="00F05828"/>
    <w:rsid w:val="00F05A70"/>
    <w:rsid w:val="00F05AD2"/>
    <w:rsid w:val="00F05E48"/>
    <w:rsid w:val="00F0621A"/>
    <w:rsid w:val="00F06422"/>
    <w:rsid w:val="00F064B2"/>
    <w:rsid w:val="00F0670F"/>
    <w:rsid w:val="00F06860"/>
    <w:rsid w:val="00F06D96"/>
    <w:rsid w:val="00F06E3E"/>
    <w:rsid w:val="00F06E7D"/>
    <w:rsid w:val="00F07071"/>
    <w:rsid w:val="00F070D4"/>
    <w:rsid w:val="00F0717C"/>
    <w:rsid w:val="00F0787C"/>
    <w:rsid w:val="00F07AC9"/>
    <w:rsid w:val="00F07B39"/>
    <w:rsid w:val="00F07F4F"/>
    <w:rsid w:val="00F10282"/>
    <w:rsid w:val="00F1028E"/>
    <w:rsid w:val="00F10389"/>
    <w:rsid w:val="00F104A1"/>
    <w:rsid w:val="00F10792"/>
    <w:rsid w:val="00F109EE"/>
    <w:rsid w:val="00F10A04"/>
    <w:rsid w:val="00F10A6C"/>
    <w:rsid w:val="00F10A90"/>
    <w:rsid w:val="00F10F3C"/>
    <w:rsid w:val="00F10F4E"/>
    <w:rsid w:val="00F1122C"/>
    <w:rsid w:val="00F1129B"/>
    <w:rsid w:val="00F1177D"/>
    <w:rsid w:val="00F11C19"/>
    <w:rsid w:val="00F11E7B"/>
    <w:rsid w:val="00F11ED9"/>
    <w:rsid w:val="00F11FB0"/>
    <w:rsid w:val="00F1227F"/>
    <w:rsid w:val="00F12289"/>
    <w:rsid w:val="00F12392"/>
    <w:rsid w:val="00F12511"/>
    <w:rsid w:val="00F12694"/>
    <w:rsid w:val="00F1289E"/>
    <w:rsid w:val="00F129FD"/>
    <w:rsid w:val="00F12A03"/>
    <w:rsid w:val="00F12AAE"/>
    <w:rsid w:val="00F12B18"/>
    <w:rsid w:val="00F12E2B"/>
    <w:rsid w:val="00F12E81"/>
    <w:rsid w:val="00F12F93"/>
    <w:rsid w:val="00F130BE"/>
    <w:rsid w:val="00F13240"/>
    <w:rsid w:val="00F132C2"/>
    <w:rsid w:val="00F13350"/>
    <w:rsid w:val="00F13597"/>
    <w:rsid w:val="00F135F1"/>
    <w:rsid w:val="00F13764"/>
    <w:rsid w:val="00F13B89"/>
    <w:rsid w:val="00F13B8F"/>
    <w:rsid w:val="00F13C1A"/>
    <w:rsid w:val="00F13CCA"/>
    <w:rsid w:val="00F13CDD"/>
    <w:rsid w:val="00F13EFA"/>
    <w:rsid w:val="00F13F50"/>
    <w:rsid w:val="00F14089"/>
    <w:rsid w:val="00F14185"/>
    <w:rsid w:val="00F141D7"/>
    <w:rsid w:val="00F143CE"/>
    <w:rsid w:val="00F14449"/>
    <w:rsid w:val="00F14486"/>
    <w:rsid w:val="00F14650"/>
    <w:rsid w:val="00F14834"/>
    <w:rsid w:val="00F14995"/>
    <w:rsid w:val="00F14BE7"/>
    <w:rsid w:val="00F14CED"/>
    <w:rsid w:val="00F14E6F"/>
    <w:rsid w:val="00F14E87"/>
    <w:rsid w:val="00F14FB0"/>
    <w:rsid w:val="00F14FD2"/>
    <w:rsid w:val="00F151A5"/>
    <w:rsid w:val="00F1545B"/>
    <w:rsid w:val="00F15619"/>
    <w:rsid w:val="00F156D5"/>
    <w:rsid w:val="00F1578B"/>
    <w:rsid w:val="00F15A0F"/>
    <w:rsid w:val="00F15B02"/>
    <w:rsid w:val="00F15BC2"/>
    <w:rsid w:val="00F15D74"/>
    <w:rsid w:val="00F15D85"/>
    <w:rsid w:val="00F15DD5"/>
    <w:rsid w:val="00F15E57"/>
    <w:rsid w:val="00F15E73"/>
    <w:rsid w:val="00F15E7E"/>
    <w:rsid w:val="00F1611D"/>
    <w:rsid w:val="00F16306"/>
    <w:rsid w:val="00F167FD"/>
    <w:rsid w:val="00F168F8"/>
    <w:rsid w:val="00F169CB"/>
    <w:rsid w:val="00F16AA8"/>
    <w:rsid w:val="00F16B28"/>
    <w:rsid w:val="00F17050"/>
    <w:rsid w:val="00F171F6"/>
    <w:rsid w:val="00F172BC"/>
    <w:rsid w:val="00F17359"/>
    <w:rsid w:val="00F17601"/>
    <w:rsid w:val="00F177C8"/>
    <w:rsid w:val="00F177EE"/>
    <w:rsid w:val="00F17862"/>
    <w:rsid w:val="00F17893"/>
    <w:rsid w:val="00F17E3E"/>
    <w:rsid w:val="00F20179"/>
    <w:rsid w:val="00F2043C"/>
    <w:rsid w:val="00F205AC"/>
    <w:rsid w:val="00F206CC"/>
    <w:rsid w:val="00F20741"/>
    <w:rsid w:val="00F208F1"/>
    <w:rsid w:val="00F20939"/>
    <w:rsid w:val="00F20D47"/>
    <w:rsid w:val="00F20E0F"/>
    <w:rsid w:val="00F20E4E"/>
    <w:rsid w:val="00F210E9"/>
    <w:rsid w:val="00F21118"/>
    <w:rsid w:val="00F2121C"/>
    <w:rsid w:val="00F216D4"/>
    <w:rsid w:val="00F2173B"/>
    <w:rsid w:val="00F2181C"/>
    <w:rsid w:val="00F21888"/>
    <w:rsid w:val="00F218D1"/>
    <w:rsid w:val="00F22139"/>
    <w:rsid w:val="00F2221C"/>
    <w:rsid w:val="00F22223"/>
    <w:rsid w:val="00F22A0C"/>
    <w:rsid w:val="00F22AA2"/>
    <w:rsid w:val="00F22E5B"/>
    <w:rsid w:val="00F22FA2"/>
    <w:rsid w:val="00F234F6"/>
    <w:rsid w:val="00F234FC"/>
    <w:rsid w:val="00F2369D"/>
    <w:rsid w:val="00F239F9"/>
    <w:rsid w:val="00F23BB4"/>
    <w:rsid w:val="00F23EDE"/>
    <w:rsid w:val="00F24374"/>
    <w:rsid w:val="00F2497A"/>
    <w:rsid w:val="00F249DA"/>
    <w:rsid w:val="00F24A4F"/>
    <w:rsid w:val="00F24EC7"/>
    <w:rsid w:val="00F24FEB"/>
    <w:rsid w:val="00F25291"/>
    <w:rsid w:val="00F25536"/>
    <w:rsid w:val="00F256D9"/>
    <w:rsid w:val="00F256E3"/>
    <w:rsid w:val="00F259D6"/>
    <w:rsid w:val="00F25A5F"/>
    <w:rsid w:val="00F25CA7"/>
    <w:rsid w:val="00F25D8B"/>
    <w:rsid w:val="00F25EDA"/>
    <w:rsid w:val="00F2652D"/>
    <w:rsid w:val="00F265D5"/>
    <w:rsid w:val="00F2673D"/>
    <w:rsid w:val="00F267B9"/>
    <w:rsid w:val="00F26BA4"/>
    <w:rsid w:val="00F26BAD"/>
    <w:rsid w:val="00F26BF6"/>
    <w:rsid w:val="00F26C63"/>
    <w:rsid w:val="00F26C66"/>
    <w:rsid w:val="00F26F34"/>
    <w:rsid w:val="00F27086"/>
    <w:rsid w:val="00F27098"/>
    <w:rsid w:val="00F27191"/>
    <w:rsid w:val="00F27997"/>
    <w:rsid w:val="00F27AE5"/>
    <w:rsid w:val="00F27B1A"/>
    <w:rsid w:val="00F27BDC"/>
    <w:rsid w:val="00F27C04"/>
    <w:rsid w:val="00F27FA1"/>
    <w:rsid w:val="00F27FE9"/>
    <w:rsid w:val="00F301AD"/>
    <w:rsid w:val="00F301FA"/>
    <w:rsid w:val="00F302A0"/>
    <w:rsid w:val="00F304B4"/>
    <w:rsid w:val="00F304BA"/>
    <w:rsid w:val="00F306B8"/>
    <w:rsid w:val="00F3073D"/>
    <w:rsid w:val="00F30D4F"/>
    <w:rsid w:val="00F310A6"/>
    <w:rsid w:val="00F315AA"/>
    <w:rsid w:val="00F31D4A"/>
    <w:rsid w:val="00F3203E"/>
    <w:rsid w:val="00F322D0"/>
    <w:rsid w:val="00F326D2"/>
    <w:rsid w:val="00F326FE"/>
    <w:rsid w:val="00F32A7B"/>
    <w:rsid w:val="00F32ABC"/>
    <w:rsid w:val="00F32C0E"/>
    <w:rsid w:val="00F32D78"/>
    <w:rsid w:val="00F32D7F"/>
    <w:rsid w:val="00F32D9B"/>
    <w:rsid w:val="00F32DF7"/>
    <w:rsid w:val="00F32F04"/>
    <w:rsid w:val="00F32F63"/>
    <w:rsid w:val="00F32FBB"/>
    <w:rsid w:val="00F33032"/>
    <w:rsid w:val="00F3359F"/>
    <w:rsid w:val="00F3373D"/>
    <w:rsid w:val="00F33795"/>
    <w:rsid w:val="00F3379A"/>
    <w:rsid w:val="00F33985"/>
    <w:rsid w:val="00F339BF"/>
    <w:rsid w:val="00F33AA2"/>
    <w:rsid w:val="00F33C14"/>
    <w:rsid w:val="00F33CA5"/>
    <w:rsid w:val="00F33EE2"/>
    <w:rsid w:val="00F34015"/>
    <w:rsid w:val="00F3409B"/>
    <w:rsid w:val="00F3481A"/>
    <w:rsid w:val="00F34C70"/>
    <w:rsid w:val="00F34F34"/>
    <w:rsid w:val="00F350F2"/>
    <w:rsid w:val="00F351C5"/>
    <w:rsid w:val="00F35341"/>
    <w:rsid w:val="00F353F1"/>
    <w:rsid w:val="00F359D9"/>
    <w:rsid w:val="00F35B7C"/>
    <w:rsid w:val="00F35D58"/>
    <w:rsid w:val="00F35E67"/>
    <w:rsid w:val="00F35FB6"/>
    <w:rsid w:val="00F36001"/>
    <w:rsid w:val="00F3626B"/>
    <w:rsid w:val="00F36380"/>
    <w:rsid w:val="00F3647D"/>
    <w:rsid w:val="00F365DA"/>
    <w:rsid w:val="00F36976"/>
    <w:rsid w:val="00F36B5F"/>
    <w:rsid w:val="00F36B63"/>
    <w:rsid w:val="00F36CD9"/>
    <w:rsid w:val="00F36F40"/>
    <w:rsid w:val="00F37105"/>
    <w:rsid w:val="00F371E5"/>
    <w:rsid w:val="00F372F5"/>
    <w:rsid w:val="00F37459"/>
    <w:rsid w:val="00F374BE"/>
    <w:rsid w:val="00F374DD"/>
    <w:rsid w:val="00F3758E"/>
    <w:rsid w:val="00F37593"/>
    <w:rsid w:val="00F379C2"/>
    <w:rsid w:val="00F37BBA"/>
    <w:rsid w:val="00F37DC7"/>
    <w:rsid w:val="00F37DF3"/>
    <w:rsid w:val="00F37E29"/>
    <w:rsid w:val="00F400A4"/>
    <w:rsid w:val="00F40167"/>
    <w:rsid w:val="00F4028B"/>
    <w:rsid w:val="00F40872"/>
    <w:rsid w:val="00F409A0"/>
    <w:rsid w:val="00F40B74"/>
    <w:rsid w:val="00F40C9A"/>
    <w:rsid w:val="00F40DE0"/>
    <w:rsid w:val="00F40FBF"/>
    <w:rsid w:val="00F40FE1"/>
    <w:rsid w:val="00F4123E"/>
    <w:rsid w:val="00F4138A"/>
    <w:rsid w:val="00F413AC"/>
    <w:rsid w:val="00F4143D"/>
    <w:rsid w:val="00F41521"/>
    <w:rsid w:val="00F416BE"/>
    <w:rsid w:val="00F417E8"/>
    <w:rsid w:val="00F4188F"/>
    <w:rsid w:val="00F41A1C"/>
    <w:rsid w:val="00F41C3B"/>
    <w:rsid w:val="00F42194"/>
    <w:rsid w:val="00F423F9"/>
    <w:rsid w:val="00F426C8"/>
    <w:rsid w:val="00F4288C"/>
    <w:rsid w:val="00F42920"/>
    <w:rsid w:val="00F42C89"/>
    <w:rsid w:val="00F42CBE"/>
    <w:rsid w:val="00F42D21"/>
    <w:rsid w:val="00F4323F"/>
    <w:rsid w:val="00F432DA"/>
    <w:rsid w:val="00F43322"/>
    <w:rsid w:val="00F434ED"/>
    <w:rsid w:val="00F4367B"/>
    <w:rsid w:val="00F4377D"/>
    <w:rsid w:val="00F43892"/>
    <w:rsid w:val="00F438DF"/>
    <w:rsid w:val="00F43A14"/>
    <w:rsid w:val="00F43A21"/>
    <w:rsid w:val="00F43FE2"/>
    <w:rsid w:val="00F44127"/>
    <w:rsid w:val="00F4441F"/>
    <w:rsid w:val="00F4447C"/>
    <w:rsid w:val="00F4473D"/>
    <w:rsid w:val="00F4492E"/>
    <w:rsid w:val="00F44B78"/>
    <w:rsid w:val="00F44CCB"/>
    <w:rsid w:val="00F44E74"/>
    <w:rsid w:val="00F44EB3"/>
    <w:rsid w:val="00F44F0E"/>
    <w:rsid w:val="00F4557A"/>
    <w:rsid w:val="00F45624"/>
    <w:rsid w:val="00F45648"/>
    <w:rsid w:val="00F458D6"/>
    <w:rsid w:val="00F45A22"/>
    <w:rsid w:val="00F45C09"/>
    <w:rsid w:val="00F45EEC"/>
    <w:rsid w:val="00F45F1F"/>
    <w:rsid w:val="00F46293"/>
    <w:rsid w:val="00F463B3"/>
    <w:rsid w:val="00F46703"/>
    <w:rsid w:val="00F4682A"/>
    <w:rsid w:val="00F468EF"/>
    <w:rsid w:val="00F469AE"/>
    <w:rsid w:val="00F46A61"/>
    <w:rsid w:val="00F46BB1"/>
    <w:rsid w:val="00F46BDE"/>
    <w:rsid w:val="00F46E83"/>
    <w:rsid w:val="00F47243"/>
    <w:rsid w:val="00F47325"/>
    <w:rsid w:val="00F47345"/>
    <w:rsid w:val="00F473A3"/>
    <w:rsid w:val="00F47409"/>
    <w:rsid w:val="00F474A5"/>
    <w:rsid w:val="00F474B6"/>
    <w:rsid w:val="00F477CC"/>
    <w:rsid w:val="00F477D5"/>
    <w:rsid w:val="00F477F2"/>
    <w:rsid w:val="00F478D4"/>
    <w:rsid w:val="00F47918"/>
    <w:rsid w:val="00F47A0D"/>
    <w:rsid w:val="00F47F44"/>
    <w:rsid w:val="00F50031"/>
    <w:rsid w:val="00F500E8"/>
    <w:rsid w:val="00F501A1"/>
    <w:rsid w:val="00F502B6"/>
    <w:rsid w:val="00F50439"/>
    <w:rsid w:val="00F50481"/>
    <w:rsid w:val="00F504BC"/>
    <w:rsid w:val="00F50510"/>
    <w:rsid w:val="00F5059B"/>
    <w:rsid w:val="00F506EA"/>
    <w:rsid w:val="00F507CD"/>
    <w:rsid w:val="00F50C26"/>
    <w:rsid w:val="00F5112B"/>
    <w:rsid w:val="00F5128D"/>
    <w:rsid w:val="00F512EE"/>
    <w:rsid w:val="00F51557"/>
    <w:rsid w:val="00F51590"/>
    <w:rsid w:val="00F5165B"/>
    <w:rsid w:val="00F51878"/>
    <w:rsid w:val="00F51951"/>
    <w:rsid w:val="00F51EE7"/>
    <w:rsid w:val="00F5204A"/>
    <w:rsid w:val="00F5207B"/>
    <w:rsid w:val="00F52206"/>
    <w:rsid w:val="00F5224D"/>
    <w:rsid w:val="00F52556"/>
    <w:rsid w:val="00F5255C"/>
    <w:rsid w:val="00F528EF"/>
    <w:rsid w:val="00F52904"/>
    <w:rsid w:val="00F52969"/>
    <w:rsid w:val="00F52B02"/>
    <w:rsid w:val="00F52C93"/>
    <w:rsid w:val="00F52D07"/>
    <w:rsid w:val="00F530D7"/>
    <w:rsid w:val="00F5333A"/>
    <w:rsid w:val="00F53AC3"/>
    <w:rsid w:val="00F53B9D"/>
    <w:rsid w:val="00F53D12"/>
    <w:rsid w:val="00F53E8C"/>
    <w:rsid w:val="00F53EF3"/>
    <w:rsid w:val="00F5407A"/>
    <w:rsid w:val="00F540CB"/>
    <w:rsid w:val="00F54269"/>
    <w:rsid w:val="00F5433C"/>
    <w:rsid w:val="00F544BF"/>
    <w:rsid w:val="00F5459B"/>
    <w:rsid w:val="00F5486B"/>
    <w:rsid w:val="00F548D3"/>
    <w:rsid w:val="00F54CFC"/>
    <w:rsid w:val="00F54F72"/>
    <w:rsid w:val="00F54F84"/>
    <w:rsid w:val="00F550DA"/>
    <w:rsid w:val="00F554BC"/>
    <w:rsid w:val="00F5563B"/>
    <w:rsid w:val="00F556FF"/>
    <w:rsid w:val="00F558BB"/>
    <w:rsid w:val="00F55A3F"/>
    <w:rsid w:val="00F55D6F"/>
    <w:rsid w:val="00F55E1F"/>
    <w:rsid w:val="00F55EF7"/>
    <w:rsid w:val="00F55FB5"/>
    <w:rsid w:val="00F5607B"/>
    <w:rsid w:val="00F560A1"/>
    <w:rsid w:val="00F560B9"/>
    <w:rsid w:val="00F5636D"/>
    <w:rsid w:val="00F5681F"/>
    <w:rsid w:val="00F56E88"/>
    <w:rsid w:val="00F56F42"/>
    <w:rsid w:val="00F5706E"/>
    <w:rsid w:val="00F57089"/>
    <w:rsid w:val="00F570B8"/>
    <w:rsid w:val="00F57151"/>
    <w:rsid w:val="00F57337"/>
    <w:rsid w:val="00F57BA1"/>
    <w:rsid w:val="00F57D34"/>
    <w:rsid w:val="00F57DA7"/>
    <w:rsid w:val="00F57EDE"/>
    <w:rsid w:val="00F60105"/>
    <w:rsid w:val="00F6027E"/>
    <w:rsid w:val="00F602E8"/>
    <w:rsid w:val="00F60309"/>
    <w:rsid w:val="00F604F0"/>
    <w:rsid w:val="00F6069E"/>
    <w:rsid w:val="00F607EB"/>
    <w:rsid w:val="00F6082C"/>
    <w:rsid w:val="00F6082E"/>
    <w:rsid w:val="00F60834"/>
    <w:rsid w:val="00F608BC"/>
    <w:rsid w:val="00F60F14"/>
    <w:rsid w:val="00F60F2D"/>
    <w:rsid w:val="00F610EF"/>
    <w:rsid w:val="00F611BE"/>
    <w:rsid w:val="00F615C5"/>
    <w:rsid w:val="00F61845"/>
    <w:rsid w:val="00F61A45"/>
    <w:rsid w:val="00F61CF5"/>
    <w:rsid w:val="00F61D62"/>
    <w:rsid w:val="00F61EF2"/>
    <w:rsid w:val="00F621A9"/>
    <w:rsid w:val="00F62236"/>
    <w:rsid w:val="00F62612"/>
    <w:rsid w:val="00F6276E"/>
    <w:rsid w:val="00F6298B"/>
    <w:rsid w:val="00F62CA0"/>
    <w:rsid w:val="00F62EAA"/>
    <w:rsid w:val="00F63184"/>
    <w:rsid w:val="00F6332B"/>
    <w:rsid w:val="00F633E6"/>
    <w:rsid w:val="00F63419"/>
    <w:rsid w:val="00F636D5"/>
    <w:rsid w:val="00F638EE"/>
    <w:rsid w:val="00F63BE5"/>
    <w:rsid w:val="00F63D5D"/>
    <w:rsid w:val="00F63DA4"/>
    <w:rsid w:val="00F6407C"/>
    <w:rsid w:val="00F64133"/>
    <w:rsid w:val="00F642C5"/>
    <w:rsid w:val="00F64584"/>
    <w:rsid w:val="00F64632"/>
    <w:rsid w:val="00F64856"/>
    <w:rsid w:val="00F64D23"/>
    <w:rsid w:val="00F65056"/>
    <w:rsid w:val="00F650B6"/>
    <w:rsid w:val="00F6515F"/>
    <w:rsid w:val="00F65213"/>
    <w:rsid w:val="00F65252"/>
    <w:rsid w:val="00F652AB"/>
    <w:rsid w:val="00F652D4"/>
    <w:rsid w:val="00F65317"/>
    <w:rsid w:val="00F65509"/>
    <w:rsid w:val="00F65584"/>
    <w:rsid w:val="00F65585"/>
    <w:rsid w:val="00F6577F"/>
    <w:rsid w:val="00F65839"/>
    <w:rsid w:val="00F659BC"/>
    <w:rsid w:val="00F659CC"/>
    <w:rsid w:val="00F659D2"/>
    <w:rsid w:val="00F65B41"/>
    <w:rsid w:val="00F65C2A"/>
    <w:rsid w:val="00F65D3D"/>
    <w:rsid w:val="00F65FB6"/>
    <w:rsid w:val="00F66118"/>
    <w:rsid w:val="00F669CA"/>
    <w:rsid w:val="00F66E7A"/>
    <w:rsid w:val="00F66F79"/>
    <w:rsid w:val="00F66FC1"/>
    <w:rsid w:val="00F670D8"/>
    <w:rsid w:val="00F671EC"/>
    <w:rsid w:val="00F67466"/>
    <w:rsid w:val="00F70045"/>
    <w:rsid w:val="00F700B4"/>
    <w:rsid w:val="00F7024C"/>
    <w:rsid w:val="00F70361"/>
    <w:rsid w:val="00F70621"/>
    <w:rsid w:val="00F70664"/>
    <w:rsid w:val="00F7084B"/>
    <w:rsid w:val="00F70A25"/>
    <w:rsid w:val="00F70A27"/>
    <w:rsid w:val="00F70D88"/>
    <w:rsid w:val="00F7108F"/>
    <w:rsid w:val="00F710F9"/>
    <w:rsid w:val="00F71301"/>
    <w:rsid w:val="00F713EA"/>
    <w:rsid w:val="00F714CE"/>
    <w:rsid w:val="00F714E3"/>
    <w:rsid w:val="00F71513"/>
    <w:rsid w:val="00F71611"/>
    <w:rsid w:val="00F71C2C"/>
    <w:rsid w:val="00F71E83"/>
    <w:rsid w:val="00F71F22"/>
    <w:rsid w:val="00F722A2"/>
    <w:rsid w:val="00F72341"/>
    <w:rsid w:val="00F728BD"/>
    <w:rsid w:val="00F7297F"/>
    <w:rsid w:val="00F72987"/>
    <w:rsid w:val="00F72D7C"/>
    <w:rsid w:val="00F72F97"/>
    <w:rsid w:val="00F72FA4"/>
    <w:rsid w:val="00F7331F"/>
    <w:rsid w:val="00F73751"/>
    <w:rsid w:val="00F73AEC"/>
    <w:rsid w:val="00F73D00"/>
    <w:rsid w:val="00F73FD3"/>
    <w:rsid w:val="00F741F8"/>
    <w:rsid w:val="00F74202"/>
    <w:rsid w:val="00F74392"/>
    <w:rsid w:val="00F74483"/>
    <w:rsid w:val="00F746BD"/>
    <w:rsid w:val="00F74773"/>
    <w:rsid w:val="00F747AA"/>
    <w:rsid w:val="00F74ACC"/>
    <w:rsid w:val="00F74CB2"/>
    <w:rsid w:val="00F74CFB"/>
    <w:rsid w:val="00F74D1A"/>
    <w:rsid w:val="00F7517B"/>
    <w:rsid w:val="00F75AB5"/>
    <w:rsid w:val="00F75CE8"/>
    <w:rsid w:val="00F75D58"/>
    <w:rsid w:val="00F75FB3"/>
    <w:rsid w:val="00F76054"/>
    <w:rsid w:val="00F76126"/>
    <w:rsid w:val="00F762C1"/>
    <w:rsid w:val="00F763F8"/>
    <w:rsid w:val="00F76426"/>
    <w:rsid w:val="00F76479"/>
    <w:rsid w:val="00F76485"/>
    <w:rsid w:val="00F76815"/>
    <w:rsid w:val="00F76915"/>
    <w:rsid w:val="00F76ABD"/>
    <w:rsid w:val="00F76BB0"/>
    <w:rsid w:val="00F76D61"/>
    <w:rsid w:val="00F76D78"/>
    <w:rsid w:val="00F76E7D"/>
    <w:rsid w:val="00F76F2B"/>
    <w:rsid w:val="00F76FF3"/>
    <w:rsid w:val="00F77089"/>
    <w:rsid w:val="00F77162"/>
    <w:rsid w:val="00F77420"/>
    <w:rsid w:val="00F77433"/>
    <w:rsid w:val="00F77548"/>
    <w:rsid w:val="00F775A2"/>
    <w:rsid w:val="00F77652"/>
    <w:rsid w:val="00F7767A"/>
    <w:rsid w:val="00F776E1"/>
    <w:rsid w:val="00F77726"/>
    <w:rsid w:val="00F77B2D"/>
    <w:rsid w:val="00F77B96"/>
    <w:rsid w:val="00F77C34"/>
    <w:rsid w:val="00F77C66"/>
    <w:rsid w:val="00F77E22"/>
    <w:rsid w:val="00F77E74"/>
    <w:rsid w:val="00F77ECA"/>
    <w:rsid w:val="00F77FA5"/>
    <w:rsid w:val="00F80067"/>
    <w:rsid w:val="00F804C3"/>
    <w:rsid w:val="00F8053E"/>
    <w:rsid w:val="00F80541"/>
    <w:rsid w:val="00F80675"/>
    <w:rsid w:val="00F80847"/>
    <w:rsid w:val="00F80947"/>
    <w:rsid w:val="00F80A3D"/>
    <w:rsid w:val="00F80ABE"/>
    <w:rsid w:val="00F80B21"/>
    <w:rsid w:val="00F80D1D"/>
    <w:rsid w:val="00F81040"/>
    <w:rsid w:val="00F8117D"/>
    <w:rsid w:val="00F81382"/>
    <w:rsid w:val="00F81417"/>
    <w:rsid w:val="00F81519"/>
    <w:rsid w:val="00F81721"/>
    <w:rsid w:val="00F81742"/>
    <w:rsid w:val="00F81752"/>
    <w:rsid w:val="00F81840"/>
    <w:rsid w:val="00F81D2A"/>
    <w:rsid w:val="00F81F8A"/>
    <w:rsid w:val="00F82244"/>
    <w:rsid w:val="00F8244E"/>
    <w:rsid w:val="00F82740"/>
    <w:rsid w:val="00F82D8F"/>
    <w:rsid w:val="00F82D9C"/>
    <w:rsid w:val="00F832F6"/>
    <w:rsid w:val="00F832F8"/>
    <w:rsid w:val="00F83398"/>
    <w:rsid w:val="00F83608"/>
    <w:rsid w:val="00F838B5"/>
    <w:rsid w:val="00F839EA"/>
    <w:rsid w:val="00F83B2B"/>
    <w:rsid w:val="00F83C43"/>
    <w:rsid w:val="00F83D66"/>
    <w:rsid w:val="00F841B4"/>
    <w:rsid w:val="00F841BF"/>
    <w:rsid w:val="00F843A5"/>
    <w:rsid w:val="00F845CA"/>
    <w:rsid w:val="00F846D8"/>
    <w:rsid w:val="00F84795"/>
    <w:rsid w:val="00F847C2"/>
    <w:rsid w:val="00F84919"/>
    <w:rsid w:val="00F849FE"/>
    <w:rsid w:val="00F84A18"/>
    <w:rsid w:val="00F84A5B"/>
    <w:rsid w:val="00F84D2B"/>
    <w:rsid w:val="00F84D5E"/>
    <w:rsid w:val="00F84DAF"/>
    <w:rsid w:val="00F84DCA"/>
    <w:rsid w:val="00F84E91"/>
    <w:rsid w:val="00F8522C"/>
    <w:rsid w:val="00F856FC"/>
    <w:rsid w:val="00F85705"/>
    <w:rsid w:val="00F857F3"/>
    <w:rsid w:val="00F85A84"/>
    <w:rsid w:val="00F85C3E"/>
    <w:rsid w:val="00F85C57"/>
    <w:rsid w:val="00F85EA3"/>
    <w:rsid w:val="00F864D9"/>
    <w:rsid w:val="00F865C9"/>
    <w:rsid w:val="00F868A8"/>
    <w:rsid w:val="00F8699E"/>
    <w:rsid w:val="00F86B81"/>
    <w:rsid w:val="00F86DA3"/>
    <w:rsid w:val="00F86E63"/>
    <w:rsid w:val="00F87072"/>
    <w:rsid w:val="00F87389"/>
    <w:rsid w:val="00F873AD"/>
    <w:rsid w:val="00F8741A"/>
    <w:rsid w:val="00F874F1"/>
    <w:rsid w:val="00F87633"/>
    <w:rsid w:val="00F878BE"/>
    <w:rsid w:val="00F878C6"/>
    <w:rsid w:val="00F87A78"/>
    <w:rsid w:val="00F87B08"/>
    <w:rsid w:val="00F87E61"/>
    <w:rsid w:val="00F87E9A"/>
    <w:rsid w:val="00F90043"/>
    <w:rsid w:val="00F902BA"/>
    <w:rsid w:val="00F9035D"/>
    <w:rsid w:val="00F9036F"/>
    <w:rsid w:val="00F908F0"/>
    <w:rsid w:val="00F909AD"/>
    <w:rsid w:val="00F90B7F"/>
    <w:rsid w:val="00F90C02"/>
    <w:rsid w:val="00F90C3B"/>
    <w:rsid w:val="00F90C67"/>
    <w:rsid w:val="00F90CB8"/>
    <w:rsid w:val="00F90E55"/>
    <w:rsid w:val="00F90FE8"/>
    <w:rsid w:val="00F9159F"/>
    <w:rsid w:val="00F91603"/>
    <w:rsid w:val="00F91639"/>
    <w:rsid w:val="00F91AD2"/>
    <w:rsid w:val="00F91F3D"/>
    <w:rsid w:val="00F91F83"/>
    <w:rsid w:val="00F921F2"/>
    <w:rsid w:val="00F92330"/>
    <w:rsid w:val="00F9233C"/>
    <w:rsid w:val="00F924D7"/>
    <w:rsid w:val="00F924ED"/>
    <w:rsid w:val="00F925BC"/>
    <w:rsid w:val="00F92702"/>
    <w:rsid w:val="00F928B4"/>
    <w:rsid w:val="00F928E4"/>
    <w:rsid w:val="00F928F7"/>
    <w:rsid w:val="00F92ABD"/>
    <w:rsid w:val="00F92D0A"/>
    <w:rsid w:val="00F92D16"/>
    <w:rsid w:val="00F92D43"/>
    <w:rsid w:val="00F92E59"/>
    <w:rsid w:val="00F92F83"/>
    <w:rsid w:val="00F92FE1"/>
    <w:rsid w:val="00F9302B"/>
    <w:rsid w:val="00F932D0"/>
    <w:rsid w:val="00F93385"/>
    <w:rsid w:val="00F934E7"/>
    <w:rsid w:val="00F93665"/>
    <w:rsid w:val="00F9367A"/>
    <w:rsid w:val="00F93744"/>
    <w:rsid w:val="00F93911"/>
    <w:rsid w:val="00F93912"/>
    <w:rsid w:val="00F93D60"/>
    <w:rsid w:val="00F93E0A"/>
    <w:rsid w:val="00F93E47"/>
    <w:rsid w:val="00F93E59"/>
    <w:rsid w:val="00F940C3"/>
    <w:rsid w:val="00F942C3"/>
    <w:rsid w:val="00F9463E"/>
    <w:rsid w:val="00F949DE"/>
    <w:rsid w:val="00F94A09"/>
    <w:rsid w:val="00F94C1C"/>
    <w:rsid w:val="00F94CE3"/>
    <w:rsid w:val="00F94D33"/>
    <w:rsid w:val="00F94E19"/>
    <w:rsid w:val="00F94F21"/>
    <w:rsid w:val="00F94FFB"/>
    <w:rsid w:val="00F95149"/>
    <w:rsid w:val="00F95583"/>
    <w:rsid w:val="00F95636"/>
    <w:rsid w:val="00F956F8"/>
    <w:rsid w:val="00F95890"/>
    <w:rsid w:val="00F958C1"/>
    <w:rsid w:val="00F96158"/>
    <w:rsid w:val="00F9655D"/>
    <w:rsid w:val="00F96619"/>
    <w:rsid w:val="00F96673"/>
    <w:rsid w:val="00F966FC"/>
    <w:rsid w:val="00F96815"/>
    <w:rsid w:val="00F96939"/>
    <w:rsid w:val="00F96B8E"/>
    <w:rsid w:val="00F96E60"/>
    <w:rsid w:val="00F96F6E"/>
    <w:rsid w:val="00F97117"/>
    <w:rsid w:val="00F9721D"/>
    <w:rsid w:val="00F9748A"/>
    <w:rsid w:val="00F975E8"/>
    <w:rsid w:val="00F97729"/>
    <w:rsid w:val="00F97832"/>
    <w:rsid w:val="00F97AFC"/>
    <w:rsid w:val="00F97E60"/>
    <w:rsid w:val="00F97FCF"/>
    <w:rsid w:val="00FA034C"/>
    <w:rsid w:val="00FA03A3"/>
    <w:rsid w:val="00FA0515"/>
    <w:rsid w:val="00FA05F8"/>
    <w:rsid w:val="00FA0949"/>
    <w:rsid w:val="00FA0CA0"/>
    <w:rsid w:val="00FA0D0D"/>
    <w:rsid w:val="00FA0E31"/>
    <w:rsid w:val="00FA10FC"/>
    <w:rsid w:val="00FA1142"/>
    <w:rsid w:val="00FA128E"/>
    <w:rsid w:val="00FA1426"/>
    <w:rsid w:val="00FA14B1"/>
    <w:rsid w:val="00FA14E9"/>
    <w:rsid w:val="00FA14EE"/>
    <w:rsid w:val="00FA1DFA"/>
    <w:rsid w:val="00FA217D"/>
    <w:rsid w:val="00FA21FC"/>
    <w:rsid w:val="00FA227B"/>
    <w:rsid w:val="00FA2284"/>
    <w:rsid w:val="00FA231F"/>
    <w:rsid w:val="00FA234A"/>
    <w:rsid w:val="00FA2462"/>
    <w:rsid w:val="00FA25C3"/>
    <w:rsid w:val="00FA25CA"/>
    <w:rsid w:val="00FA2655"/>
    <w:rsid w:val="00FA26AA"/>
    <w:rsid w:val="00FA2A7D"/>
    <w:rsid w:val="00FA2AB3"/>
    <w:rsid w:val="00FA2D7B"/>
    <w:rsid w:val="00FA2F16"/>
    <w:rsid w:val="00FA3038"/>
    <w:rsid w:val="00FA30FC"/>
    <w:rsid w:val="00FA37B4"/>
    <w:rsid w:val="00FA3897"/>
    <w:rsid w:val="00FA38A7"/>
    <w:rsid w:val="00FA3DE5"/>
    <w:rsid w:val="00FA4136"/>
    <w:rsid w:val="00FA4203"/>
    <w:rsid w:val="00FA4253"/>
    <w:rsid w:val="00FA42BD"/>
    <w:rsid w:val="00FA438C"/>
    <w:rsid w:val="00FA443B"/>
    <w:rsid w:val="00FA4586"/>
    <w:rsid w:val="00FA4606"/>
    <w:rsid w:val="00FA4942"/>
    <w:rsid w:val="00FA4946"/>
    <w:rsid w:val="00FA4A66"/>
    <w:rsid w:val="00FA4C63"/>
    <w:rsid w:val="00FA4D60"/>
    <w:rsid w:val="00FA4DC2"/>
    <w:rsid w:val="00FA4F31"/>
    <w:rsid w:val="00FA4F42"/>
    <w:rsid w:val="00FA4F7E"/>
    <w:rsid w:val="00FA51CC"/>
    <w:rsid w:val="00FA51EF"/>
    <w:rsid w:val="00FA52C5"/>
    <w:rsid w:val="00FA52F1"/>
    <w:rsid w:val="00FA530B"/>
    <w:rsid w:val="00FA5354"/>
    <w:rsid w:val="00FA53D5"/>
    <w:rsid w:val="00FA5531"/>
    <w:rsid w:val="00FA57F7"/>
    <w:rsid w:val="00FA58C8"/>
    <w:rsid w:val="00FA5BB3"/>
    <w:rsid w:val="00FA5C4A"/>
    <w:rsid w:val="00FA5CAD"/>
    <w:rsid w:val="00FA5D45"/>
    <w:rsid w:val="00FA5E89"/>
    <w:rsid w:val="00FA60AE"/>
    <w:rsid w:val="00FA6162"/>
    <w:rsid w:val="00FA624C"/>
    <w:rsid w:val="00FA6410"/>
    <w:rsid w:val="00FA64A6"/>
    <w:rsid w:val="00FA6716"/>
    <w:rsid w:val="00FA6800"/>
    <w:rsid w:val="00FA6CB4"/>
    <w:rsid w:val="00FA6E8B"/>
    <w:rsid w:val="00FA7457"/>
    <w:rsid w:val="00FA75E1"/>
    <w:rsid w:val="00FA7628"/>
    <w:rsid w:val="00FA777D"/>
    <w:rsid w:val="00FA77D5"/>
    <w:rsid w:val="00FA77F4"/>
    <w:rsid w:val="00FA77FA"/>
    <w:rsid w:val="00FA78A3"/>
    <w:rsid w:val="00FA78B6"/>
    <w:rsid w:val="00FA7A45"/>
    <w:rsid w:val="00FA7B3D"/>
    <w:rsid w:val="00FA7B9C"/>
    <w:rsid w:val="00FA7BC5"/>
    <w:rsid w:val="00FA7D79"/>
    <w:rsid w:val="00FA7D81"/>
    <w:rsid w:val="00FA7DF5"/>
    <w:rsid w:val="00FA7EAB"/>
    <w:rsid w:val="00FA7F14"/>
    <w:rsid w:val="00FB00B1"/>
    <w:rsid w:val="00FB016D"/>
    <w:rsid w:val="00FB02DF"/>
    <w:rsid w:val="00FB02E8"/>
    <w:rsid w:val="00FB0422"/>
    <w:rsid w:val="00FB053C"/>
    <w:rsid w:val="00FB05D0"/>
    <w:rsid w:val="00FB065A"/>
    <w:rsid w:val="00FB0695"/>
    <w:rsid w:val="00FB0785"/>
    <w:rsid w:val="00FB087A"/>
    <w:rsid w:val="00FB0BF0"/>
    <w:rsid w:val="00FB0F71"/>
    <w:rsid w:val="00FB1172"/>
    <w:rsid w:val="00FB12A6"/>
    <w:rsid w:val="00FB13E6"/>
    <w:rsid w:val="00FB1456"/>
    <w:rsid w:val="00FB14DE"/>
    <w:rsid w:val="00FB1730"/>
    <w:rsid w:val="00FB186B"/>
    <w:rsid w:val="00FB19BC"/>
    <w:rsid w:val="00FB19C2"/>
    <w:rsid w:val="00FB1CAE"/>
    <w:rsid w:val="00FB1DD4"/>
    <w:rsid w:val="00FB1E44"/>
    <w:rsid w:val="00FB1EBB"/>
    <w:rsid w:val="00FB1EF8"/>
    <w:rsid w:val="00FB2034"/>
    <w:rsid w:val="00FB207B"/>
    <w:rsid w:val="00FB2245"/>
    <w:rsid w:val="00FB226B"/>
    <w:rsid w:val="00FB2321"/>
    <w:rsid w:val="00FB238D"/>
    <w:rsid w:val="00FB23EF"/>
    <w:rsid w:val="00FB24DD"/>
    <w:rsid w:val="00FB2687"/>
    <w:rsid w:val="00FB26C6"/>
    <w:rsid w:val="00FB270C"/>
    <w:rsid w:val="00FB2782"/>
    <w:rsid w:val="00FB2A0C"/>
    <w:rsid w:val="00FB2B87"/>
    <w:rsid w:val="00FB2CF8"/>
    <w:rsid w:val="00FB2F75"/>
    <w:rsid w:val="00FB3590"/>
    <w:rsid w:val="00FB35E3"/>
    <w:rsid w:val="00FB365E"/>
    <w:rsid w:val="00FB3C62"/>
    <w:rsid w:val="00FB3F60"/>
    <w:rsid w:val="00FB404A"/>
    <w:rsid w:val="00FB4050"/>
    <w:rsid w:val="00FB40B1"/>
    <w:rsid w:val="00FB44E4"/>
    <w:rsid w:val="00FB4544"/>
    <w:rsid w:val="00FB48C3"/>
    <w:rsid w:val="00FB4A1D"/>
    <w:rsid w:val="00FB4B62"/>
    <w:rsid w:val="00FB4CA8"/>
    <w:rsid w:val="00FB4CAE"/>
    <w:rsid w:val="00FB4D08"/>
    <w:rsid w:val="00FB4D62"/>
    <w:rsid w:val="00FB4E31"/>
    <w:rsid w:val="00FB4EDE"/>
    <w:rsid w:val="00FB4FA3"/>
    <w:rsid w:val="00FB50A6"/>
    <w:rsid w:val="00FB5127"/>
    <w:rsid w:val="00FB523B"/>
    <w:rsid w:val="00FB5314"/>
    <w:rsid w:val="00FB5516"/>
    <w:rsid w:val="00FB56EF"/>
    <w:rsid w:val="00FB575F"/>
    <w:rsid w:val="00FB5B0F"/>
    <w:rsid w:val="00FB5C8A"/>
    <w:rsid w:val="00FB5CBC"/>
    <w:rsid w:val="00FB5D9A"/>
    <w:rsid w:val="00FB5EC4"/>
    <w:rsid w:val="00FB6082"/>
    <w:rsid w:val="00FB61B0"/>
    <w:rsid w:val="00FB61B4"/>
    <w:rsid w:val="00FB6A01"/>
    <w:rsid w:val="00FB6B35"/>
    <w:rsid w:val="00FB6B9D"/>
    <w:rsid w:val="00FB6C9D"/>
    <w:rsid w:val="00FB6CD0"/>
    <w:rsid w:val="00FB6FAE"/>
    <w:rsid w:val="00FB718A"/>
    <w:rsid w:val="00FB7318"/>
    <w:rsid w:val="00FB75B2"/>
    <w:rsid w:val="00FB77FA"/>
    <w:rsid w:val="00FB796B"/>
    <w:rsid w:val="00FB7B68"/>
    <w:rsid w:val="00FB7DBE"/>
    <w:rsid w:val="00FB7FCC"/>
    <w:rsid w:val="00FC002D"/>
    <w:rsid w:val="00FC0043"/>
    <w:rsid w:val="00FC01B0"/>
    <w:rsid w:val="00FC01E3"/>
    <w:rsid w:val="00FC01F5"/>
    <w:rsid w:val="00FC0404"/>
    <w:rsid w:val="00FC0510"/>
    <w:rsid w:val="00FC056E"/>
    <w:rsid w:val="00FC0837"/>
    <w:rsid w:val="00FC09AC"/>
    <w:rsid w:val="00FC0D5C"/>
    <w:rsid w:val="00FC0FD0"/>
    <w:rsid w:val="00FC1040"/>
    <w:rsid w:val="00FC1136"/>
    <w:rsid w:val="00FC120B"/>
    <w:rsid w:val="00FC1281"/>
    <w:rsid w:val="00FC1320"/>
    <w:rsid w:val="00FC176C"/>
    <w:rsid w:val="00FC1846"/>
    <w:rsid w:val="00FC1ACA"/>
    <w:rsid w:val="00FC1E80"/>
    <w:rsid w:val="00FC1FD4"/>
    <w:rsid w:val="00FC242E"/>
    <w:rsid w:val="00FC2637"/>
    <w:rsid w:val="00FC2726"/>
    <w:rsid w:val="00FC277B"/>
    <w:rsid w:val="00FC27DC"/>
    <w:rsid w:val="00FC2C31"/>
    <w:rsid w:val="00FC2C4B"/>
    <w:rsid w:val="00FC2CFA"/>
    <w:rsid w:val="00FC2E22"/>
    <w:rsid w:val="00FC2F4E"/>
    <w:rsid w:val="00FC3104"/>
    <w:rsid w:val="00FC3287"/>
    <w:rsid w:val="00FC331D"/>
    <w:rsid w:val="00FC34F5"/>
    <w:rsid w:val="00FC352A"/>
    <w:rsid w:val="00FC3662"/>
    <w:rsid w:val="00FC36D2"/>
    <w:rsid w:val="00FC3779"/>
    <w:rsid w:val="00FC38A0"/>
    <w:rsid w:val="00FC38A6"/>
    <w:rsid w:val="00FC3942"/>
    <w:rsid w:val="00FC39E7"/>
    <w:rsid w:val="00FC3ACB"/>
    <w:rsid w:val="00FC3BBC"/>
    <w:rsid w:val="00FC3DD0"/>
    <w:rsid w:val="00FC3E43"/>
    <w:rsid w:val="00FC3FB0"/>
    <w:rsid w:val="00FC3FE5"/>
    <w:rsid w:val="00FC405A"/>
    <w:rsid w:val="00FC4108"/>
    <w:rsid w:val="00FC4303"/>
    <w:rsid w:val="00FC4642"/>
    <w:rsid w:val="00FC471B"/>
    <w:rsid w:val="00FC4AB8"/>
    <w:rsid w:val="00FC4CE4"/>
    <w:rsid w:val="00FC4E29"/>
    <w:rsid w:val="00FC4F87"/>
    <w:rsid w:val="00FC511F"/>
    <w:rsid w:val="00FC5234"/>
    <w:rsid w:val="00FC5447"/>
    <w:rsid w:val="00FC54C9"/>
    <w:rsid w:val="00FC56B3"/>
    <w:rsid w:val="00FC57E5"/>
    <w:rsid w:val="00FC5949"/>
    <w:rsid w:val="00FC5C57"/>
    <w:rsid w:val="00FC5CA7"/>
    <w:rsid w:val="00FC5D76"/>
    <w:rsid w:val="00FC5EC7"/>
    <w:rsid w:val="00FC5F9A"/>
    <w:rsid w:val="00FC6064"/>
    <w:rsid w:val="00FC609D"/>
    <w:rsid w:val="00FC62F4"/>
    <w:rsid w:val="00FC630D"/>
    <w:rsid w:val="00FC63A9"/>
    <w:rsid w:val="00FC6476"/>
    <w:rsid w:val="00FC69A1"/>
    <w:rsid w:val="00FC6A54"/>
    <w:rsid w:val="00FC6E32"/>
    <w:rsid w:val="00FC6E54"/>
    <w:rsid w:val="00FC6FE9"/>
    <w:rsid w:val="00FC70B2"/>
    <w:rsid w:val="00FC7303"/>
    <w:rsid w:val="00FC7659"/>
    <w:rsid w:val="00FC7718"/>
    <w:rsid w:val="00FC7902"/>
    <w:rsid w:val="00FC7931"/>
    <w:rsid w:val="00FC7992"/>
    <w:rsid w:val="00FC7A20"/>
    <w:rsid w:val="00FC7C65"/>
    <w:rsid w:val="00FC7FD1"/>
    <w:rsid w:val="00FD0025"/>
    <w:rsid w:val="00FD0959"/>
    <w:rsid w:val="00FD099B"/>
    <w:rsid w:val="00FD0A6F"/>
    <w:rsid w:val="00FD0B21"/>
    <w:rsid w:val="00FD0B8F"/>
    <w:rsid w:val="00FD0C3A"/>
    <w:rsid w:val="00FD0F97"/>
    <w:rsid w:val="00FD0F9E"/>
    <w:rsid w:val="00FD1136"/>
    <w:rsid w:val="00FD1347"/>
    <w:rsid w:val="00FD1352"/>
    <w:rsid w:val="00FD16A6"/>
    <w:rsid w:val="00FD1738"/>
    <w:rsid w:val="00FD1938"/>
    <w:rsid w:val="00FD1DC6"/>
    <w:rsid w:val="00FD1F98"/>
    <w:rsid w:val="00FD2055"/>
    <w:rsid w:val="00FD2165"/>
    <w:rsid w:val="00FD27CA"/>
    <w:rsid w:val="00FD2802"/>
    <w:rsid w:val="00FD2885"/>
    <w:rsid w:val="00FD2A34"/>
    <w:rsid w:val="00FD2CAB"/>
    <w:rsid w:val="00FD2EBC"/>
    <w:rsid w:val="00FD2F30"/>
    <w:rsid w:val="00FD2F9C"/>
    <w:rsid w:val="00FD2FF9"/>
    <w:rsid w:val="00FD3031"/>
    <w:rsid w:val="00FD30CE"/>
    <w:rsid w:val="00FD30DF"/>
    <w:rsid w:val="00FD320D"/>
    <w:rsid w:val="00FD329C"/>
    <w:rsid w:val="00FD3395"/>
    <w:rsid w:val="00FD33A8"/>
    <w:rsid w:val="00FD33E1"/>
    <w:rsid w:val="00FD34BC"/>
    <w:rsid w:val="00FD375F"/>
    <w:rsid w:val="00FD3778"/>
    <w:rsid w:val="00FD3A90"/>
    <w:rsid w:val="00FD3BCE"/>
    <w:rsid w:val="00FD3F74"/>
    <w:rsid w:val="00FD41F8"/>
    <w:rsid w:val="00FD426C"/>
    <w:rsid w:val="00FD4415"/>
    <w:rsid w:val="00FD477F"/>
    <w:rsid w:val="00FD48E1"/>
    <w:rsid w:val="00FD491A"/>
    <w:rsid w:val="00FD4A39"/>
    <w:rsid w:val="00FD4ACF"/>
    <w:rsid w:val="00FD4BD5"/>
    <w:rsid w:val="00FD4C26"/>
    <w:rsid w:val="00FD4DE9"/>
    <w:rsid w:val="00FD4EFA"/>
    <w:rsid w:val="00FD4F2C"/>
    <w:rsid w:val="00FD4FF8"/>
    <w:rsid w:val="00FD50F2"/>
    <w:rsid w:val="00FD5365"/>
    <w:rsid w:val="00FD563D"/>
    <w:rsid w:val="00FD56ED"/>
    <w:rsid w:val="00FD59BE"/>
    <w:rsid w:val="00FD5A62"/>
    <w:rsid w:val="00FD5DCA"/>
    <w:rsid w:val="00FD61F2"/>
    <w:rsid w:val="00FD61FC"/>
    <w:rsid w:val="00FD6299"/>
    <w:rsid w:val="00FD62D7"/>
    <w:rsid w:val="00FD62ED"/>
    <w:rsid w:val="00FD6319"/>
    <w:rsid w:val="00FD63DD"/>
    <w:rsid w:val="00FD6557"/>
    <w:rsid w:val="00FD6635"/>
    <w:rsid w:val="00FD67F7"/>
    <w:rsid w:val="00FD6806"/>
    <w:rsid w:val="00FD684B"/>
    <w:rsid w:val="00FD69F8"/>
    <w:rsid w:val="00FD6A28"/>
    <w:rsid w:val="00FD6C7B"/>
    <w:rsid w:val="00FD6E42"/>
    <w:rsid w:val="00FD7035"/>
    <w:rsid w:val="00FD76C0"/>
    <w:rsid w:val="00FD7818"/>
    <w:rsid w:val="00FD78D2"/>
    <w:rsid w:val="00FD78FE"/>
    <w:rsid w:val="00FD7BE2"/>
    <w:rsid w:val="00FD7C83"/>
    <w:rsid w:val="00FD7E21"/>
    <w:rsid w:val="00FD7E4E"/>
    <w:rsid w:val="00FE0162"/>
    <w:rsid w:val="00FE017F"/>
    <w:rsid w:val="00FE04CE"/>
    <w:rsid w:val="00FE0615"/>
    <w:rsid w:val="00FE0A02"/>
    <w:rsid w:val="00FE0C16"/>
    <w:rsid w:val="00FE0CEC"/>
    <w:rsid w:val="00FE0DBB"/>
    <w:rsid w:val="00FE0F1F"/>
    <w:rsid w:val="00FE1029"/>
    <w:rsid w:val="00FE13FB"/>
    <w:rsid w:val="00FE1629"/>
    <w:rsid w:val="00FE16CC"/>
    <w:rsid w:val="00FE19FE"/>
    <w:rsid w:val="00FE1A49"/>
    <w:rsid w:val="00FE1B13"/>
    <w:rsid w:val="00FE1B3D"/>
    <w:rsid w:val="00FE1BEC"/>
    <w:rsid w:val="00FE1CDF"/>
    <w:rsid w:val="00FE1EA3"/>
    <w:rsid w:val="00FE1F36"/>
    <w:rsid w:val="00FE1F39"/>
    <w:rsid w:val="00FE24CD"/>
    <w:rsid w:val="00FE283A"/>
    <w:rsid w:val="00FE285E"/>
    <w:rsid w:val="00FE2927"/>
    <w:rsid w:val="00FE2A57"/>
    <w:rsid w:val="00FE2B9D"/>
    <w:rsid w:val="00FE2D01"/>
    <w:rsid w:val="00FE30A0"/>
    <w:rsid w:val="00FE318B"/>
    <w:rsid w:val="00FE3784"/>
    <w:rsid w:val="00FE38AA"/>
    <w:rsid w:val="00FE3A70"/>
    <w:rsid w:val="00FE3B4B"/>
    <w:rsid w:val="00FE3D0F"/>
    <w:rsid w:val="00FE3F19"/>
    <w:rsid w:val="00FE3FB7"/>
    <w:rsid w:val="00FE403F"/>
    <w:rsid w:val="00FE4197"/>
    <w:rsid w:val="00FE4303"/>
    <w:rsid w:val="00FE43AF"/>
    <w:rsid w:val="00FE4818"/>
    <w:rsid w:val="00FE4A18"/>
    <w:rsid w:val="00FE4AE9"/>
    <w:rsid w:val="00FE4B0D"/>
    <w:rsid w:val="00FE4E65"/>
    <w:rsid w:val="00FE4F22"/>
    <w:rsid w:val="00FE4F5C"/>
    <w:rsid w:val="00FE526C"/>
    <w:rsid w:val="00FE54EE"/>
    <w:rsid w:val="00FE5533"/>
    <w:rsid w:val="00FE55A1"/>
    <w:rsid w:val="00FE5699"/>
    <w:rsid w:val="00FE59BC"/>
    <w:rsid w:val="00FE5A63"/>
    <w:rsid w:val="00FE5BB5"/>
    <w:rsid w:val="00FE5E11"/>
    <w:rsid w:val="00FE5EBA"/>
    <w:rsid w:val="00FE5EDE"/>
    <w:rsid w:val="00FE5EFB"/>
    <w:rsid w:val="00FE6012"/>
    <w:rsid w:val="00FE6069"/>
    <w:rsid w:val="00FE6336"/>
    <w:rsid w:val="00FE6464"/>
    <w:rsid w:val="00FE64B1"/>
    <w:rsid w:val="00FE6506"/>
    <w:rsid w:val="00FE65DC"/>
    <w:rsid w:val="00FE67D3"/>
    <w:rsid w:val="00FE6B0A"/>
    <w:rsid w:val="00FE6C6B"/>
    <w:rsid w:val="00FE6D79"/>
    <w:rsid w:val="00FE7000"/>
    <w:rsid w:val="00FE7061"/>
    <w:rsid w:val="00FE72DE"/>
    <w:rsid w:val="00FE73A8"/>
    <w:rsid w:val="00FE782F"/>
    <w:rsid w:val="00FE7A64"/>
    <w:rsid w:val="00FE7B46"/>
    <w:rsid w:val="00FE7C69"/>
    <w:rsid w:val="00FF017C"/>
    <w:rsid w:val="00FF02C7"/>
    <w:rsid w:val="00FF05E3"/>
    <w:rsid w:val="00FF06D5"/>
    <w:rsid w:val="00FF0748"/>
    <w:rsid w:val="00FF0850"/>
    <w:rsid w:val="00FF09CE"/>
    <w:rsid w:val="00FF0C88"/>
    <w:rsid w:val="00FF0CED"/>
    <w:rsid w:val="00FF0D07"/>
    <w:rsid w:val="00FF0D2F"/>
    <w:rsid w:val="00FF0D98"/>
    <w:rsid w:val="00FF0D9E"/>
    <w:rsid w:val="00FF1055"/>
    <w:rsid w:val="00FF11AF"/>
    <w:rsid w:val="00FF1213"/>
    <w:rsid w:val="00FF129F"/>
    <w:rsid w:val="00FF1395"/>
    <w:rsid w:val="00FF148F"/>
    <w:rsid w:val="00FF14D7"/>
    <w:rsid w:val="00FF1834"/>
    <w:rsid w:val="00FF1C70"/>
    <w:rsid w:val="00FF2124"/>
    <w:rsid w:val="00FF2146"/>
    <w:rsid w:val="00FF21B2"/>
    <w:rsid w:val="00FF25C5"/>
    <w:rsid w:val="00FF25EC"/>
    <w:rsid w:val="00FF2754"/>
    <w:rsid w:val="00FF2E67"/>
    <w:rsid w:val="00FF2EC1"/>
    <w:rsid w:val="00FF2EF8"/>
    <w:rsid w:val="00FF33E5"/>
    <w:rsid w:val="00FF3473"/>
    <w:rsid w:val="00FF3503"/>
    <w:rsid w:val="00FF3ACC"/>
    <w:rsid w:val="00FF3D3D"/>
    <w:rsid w:val="00FF3F60"/>
    <w:rsid w:val="00FF463A"/>
    <w:rsid w:val="00FF4650"/>
    <w:rsid w:val="00FF4A94"/>
    <w:rsid w:val="00FF4BDD"/>
    <w:rsid w:val="00FF4C66"/>
    <w:rsid w:val="00FF4D17"/>
    <w:rsid w:val="00FF4D99"/>
    <w:rsid w:val="00FF4E06"/>
    <w:rsid w:val="00FF4FB6"/>
    <w:rsid w:val="00FF4FBD"/>
    <w:rsid w:val="00FF503B"/>
    <w:rsid w:val="00FF522F"/>
    <w:rsid w:val="00FF52CF"/>
    <w:rsid w:val="00FF52FA"/>
    <w:rsid w:val="00FF5514"/>
    <w:rsid w:val="00FF5517"/>
    <w:rsid w:val="00FF5C17"/>
    <w:rsid w:val="00FF5C71"/>
    <w:rsid w:val="00FF5EC6"/>
    <w:rsid w:val="00FF6218"/>
    <w:rsid w:val="00FF6250"/>
    <w:rsid w:val="00FF639A"/>
    <w:rsid w:val="00FF63B8"/>
    <w:rsid w:val="00FF6517"/>
    <w:rsid w:val="00FF654F"/>
    <w:rsid w:val="00FF693A"/>
    <w:rsid w:val="00FF693D"/>
    <w:rsid w:val="00FF6AFA"/>
    <w:rsid w:val="00FF6C31"/>
    <w:rsid w:val="00FF6D21"/>
    <w:rsid w:val="00FF6DE7"/>
    <w:rsid w:val="00FF74F4"/>
    <w:rsid w:val="00FF7738"/>
    <w:rsid w:val="00FF7756"/>
    <w:rsid w:val="00FF7EDA"/>
    <w:rsid w:val="1AFC868E"/>
    <w:rsid w:val="20A08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4DEF3630-A6D2-475F-BA98-2363602C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419"/>
    <w:rPr>
      <w:lang w:val="ro-RO" w:eastAsia="ru-RU"/>
    </w:rPr>
  </w:style>
  <w:style w:type="paragraph" w:styleId="Heading1">
    <w:name w:val="heading 1"/>
    <w:aliases w:val="FIAS"/>
    <w:basedOn w:val="Normal"/>
    <w:next w:val="Normal"/>
    <w:link w:val="Heading1Char"/>
    <w:qFormat/>
    <w:rsid w:val="002D2ED4"/>
    <w:pPr>
      <w:keepNext/>
      <w:jc w:val="center"/>
      <w:outlineLvl w:val="0"/>
    </w:pPr>
    <w:rPr>
      <w:b/>
      <w:bCs/>
      <w:sz w:val="32"/>
      <w:szCs w:val="32"/>
    </w:rPr>
  </w:style>
  <w:style w:type="paragraph" w:styleId="Heading2">
    <w:name w:val="heading 2"/>
    <w:basedOn w:val="Normal"/>
    <w:next w:val="Normal"/>
    <w:link w:val="Heading2Char"/>
    <w:qFormat/>
    <w:rsid w:val="002D2ED4"/>
    <w:pPr>
      <w:keepNext/>
      <w:spacing w:line="360" w:lineRule="auto"/>
      <w:ind w:firstLine="567"/>
      <w:jc w:val="center"/>
      <w:outlineLvl w:val="1"/>
    </w:pPr>
    <w:rPr>
      <w:b/>
      <w:bCs/>
      <w:sz w:val="28"/>
      <w:szCs w:val="28"/>
      <w:lang w:eastAsia="x-none"/>
    </w:rPr>
  </w:style>
  <w:style w:type="paragraph" w:styleId="Heading3">
    <w:name w:val="heading 3"/>
    <w:basedOn w:val="Normal"/>
    <w:next w:val="Normal"/>
    <w:link w:val="Heading3Char"/>
    <w:qFormat/>
    <w:rsid w:val="002D2ED4"/>
    <w:pPr>
      <w:keepNext/>
      <w:jc w:val="center"/>
      <w:outlineLvl w:val="2"/>
    </w:pPr>
    <w:rPr>
      <w:b/>
      <w:bCs/>
      <w:sz w:val="28"/>
      <w:szCs w:val="28"/>
      <w:lang w:val="x-none"/>
    </w:rPr>
  </w:style>
  <w:style w:type="paragraph" w:styleId="Heading4">
    <w:name w:val="heading 4"/>
    <w:basedOn w:val="Normal"/>
    <w:next w:val="Normal"/>
    <w:link w:val="Heading4Char"/>
    <w:qFormat/>
    <w:rsid w:val="002D2ED4"/>
    <w:pPr>
      <w:keepNext/>
      <w:spacing w:before="60" w:after="60"/>
      <w:jc w:val="both"/>
      <w:outlineLvl w:val="3"/>
    </w:pPr>
    <w:rPr>
      <w:b/>
      <w:bCs/>
      <w:sz w:val="26"/>
      <w:szCs w:val="26"/>
      <w:lang w:eastAsia="x-none"/>
    </w:rPr>
  </w:style>
  <w:style w:type="paragraph" w:styleId="Heading5">
    <w:name w:val="heading 5"/>
    <w:basedOn w:val="Normal"/>
    <w:next w:val="Normal"/>
    <w:link w:val="Heading5Char"/>
    <w:qFormat/>
    <w:rsid w:val="002D2ED4"/>
    <w:pPr>
      <w:keepNext/>
      <w:jc w:val="center"/>
      <w:outlineLvl w:val="4"/>
    </w:pPr>
    <w:rPr>
      <w:b/>
      <w:bCs/>
      <w:sz w:val="22"/>
      <w:szCs w:val="22"/>
    </w:rPr>
  </w:style>
  <w:style w:type="paragraph" w:styleId="Heading6">
    <w:name w:val="heading 6"/>
    <w:basedOn w:val="Normal"/>
    <w:next w:val="Normal"/>
    <w:link w:val="Heading6Char"/>
    <w:qFormat/>
    <w:rsid w:val="002D2ED4"/>
    <w:pPr>
      <w:keepNext/>
      <w:spacing w:before="60" w:after="60"/>
      <w:jc w:val="center"/>
      <w:outlineLvl w:val="5"/>
    </w:pPr>
    <w:rPr>
      <w:b/>
      <w:bCs/>
      <w:lang w:eastAsia="x-none"/>
    </w:rPr>
  </w:style>
  <w:style w:type="paragraph" w:styleId="Heading7">
    <w:name w:val="heading 7"/>
    <w:basedOn w:val="Normal"/>
    <w:next w:val="Normal"/>
    <w:link w:val="Heading7Char"/>
    <w:qFormat/>
    <w:rsid w:val="002D2ED4"/>
    <w:pPr>
      <w:keepNext/>
      <w:outlineLvl w:val="6"/>
    </w:pPr>
    <w:rPr>
      <w:b/>
      <w:bCs/>
      <w:sz w:val="24"/>
      <w:szCs w:val="24"/>
    </w:rPr>
  </w:style>
  <w:style w:type="paragraph" w:styleId="Heading8">
    <w:name w:val="heading 8"/>
    <w:basedOn w:val="Normal"/>
    <w:next w:val="Normal"/>
    <w:link w:val="Heading8Char"/>
    <w:qFormat/>
    <w:rsid w:val="002D2ED4"/>
    <w:pPr>
      <w:keepNext/>
      <w:spacing w:before="60" w:after="60"/>
      <w:jc w:val="both"/>
      <w:outlineLvl w:val="7"/>
    </w:pPr>
    <w:rPr>
      <w:b/>
      <w:bCs/>
      <w:lang w:eastAsia="x-none"/>
    </w:rPr>
  </w:style>
  <w:style w:type="paragraph" w:styleId="Heading9">
    <w:name w:val="heading 9"/>
    <w:basedOn w:val="Normal"/>
    <w:next w:val="Normal"/>
    <w:link w:val="Heading9Char"/>
    <w:qFormat/>
    <w:rsid w:val="002D2ED4"/>
    <w:pPr>
      <w:keepNext/>
      <w:jc w:val="center"/>
      <w:outlineLvl w:val="8"/>
    </w:pPr>
    <w:rPr>
      <w:b/>
      <w:b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C1AED"/>
    <w:rPr>
      <w:b/>
      <w:bCs/>
      <w:sz w:val="28"/>
      <w:szCs w:val="28"/>
      <w:lang w:val="ro-RO"/>
    </w:rPr>
  </w:style>
  <w:style w:type="paragraph" w:customStyle="1" w:styleId="2CharChar1CharCharCharChar">
    <w:name w:val="Знак Знак2 Char Char Знак Знак1 Char Char Знак Знак Char Char"/>
    <w:basedOn w:val="Normal"/>
    <w:rsid w:val="002D2ED4"/>
    <w:pPr>
      <w:spacing w:after="160" w:line="240" w:lineRule="exact"/>
    </w:pPr>
    <w:rPr>
      <w:rFonts w:ascii="Arial" w:eastAsia="Batang" w:hAnsi="Arial" w:cs="Arial"/>
      <w:lang w:val="en-US" w:eastAsia="en-US"/>
    </w:rPr>
  </w:style>
  <w:style w:type="paragraph" w:customStyle="1" w:styleId="CharChar11CharChar">
    <w:name w:val="Char Char1 Знак Знак1 Char Char"/>
    <w:basedOn w:val="Normal"/>
    <w:rsid w:val="002D2ED4"/>
    <w:pPr>
      <w:spacing w:after="160" w:line="240" w:lineRule="exact"/>
    </w:pPr>
    <w:rPr>
      <w:rFonts w:ascii="Arial" w:eastAsia="Batang" w:hAnsi="Arial" w:cs="Arial"/>
      <w:lang w:val="en-US" w:eastAsia="en-US"/>
    </w:rPr>
  </w:style>
  <w:style w:type="paragraph" w:styleId="BodyText">
    <w:name w:val="Body Text"/>
    <w:aliases w:val="Body Text - Level 2,Iniiaiie oaeno Ciae"/>
    <w:basedOn w:val="Normal"/>
    <w:link w:val="BodyTextChar"/>
    <w:rsid w:val="002D2ED4"/>
    <w:pPr>
      <w:spacing w:line="360" w:lineRule="auto"/>
    </w:pPr>
    <w:rPr>
      <w:sz w:val="26"/>
      <w:szCs w:val="26"/>
      <w:lang w:eastAsia="x-none"/>
    </w:rPr>
  </w:style>
  <w:style w:type="character" w:customStyle="1" w:styleId="BodyTextChar">
    <w:name w:val="Body Text Char"/>
    <w:aliases w:val="Body Text - Level 2 Char,Iniiaiie oaeno Ciae Char"/>
    <w:link w:val="BodyText"/>
    <w:locked/>
    <w:rsid w:val="001C1AED"/>
    <w:rPr>
      <w:sz w:val="26"/>
      <w:szCs w:val="26"/>
      <w:lang w:val="ro-RO"/>
    </w:rPr>
  </w:style>
  <w:style w:type="paragraph" w:styleId="BodyTextIndent">
    <w:name w:val="Body Text Indent"/>
    <w:basedOn w:val="Normal"/>
    <w:link w:val="BodyTextIndentChar"/>
    <w:rsid w:val="002D2ED4"/>
    <w:pPr>
      <w:spacing w:before="60" w:after="60"/>
      <w:ind w:firstLine="709"/>
      <w:jc w:val="both"/>
    </w:pPr>
    <w:rPr>
      <w:sz w:val="26"/>
      <w:szCs w:val="26"/>
    </w:rPr>
  </w:style>
  <w:style w:type="paragraph" w:styleId="BodyTextIndent2">
    <w:name w:val="Body Text Indent 2"/>
    <w:basedOn w:val="Normal"/>
    <w:link w:val="BodyTextIndent2Char"/>
    <w:rsid w:val="002D2ED4"/>
    <w:pPr>
      <w:spacing w:before="60" w:after="60"/>
      <w:ind w:firstLine="709"/>
    </w:pPr>
    <w:rPr>
      <w:sz w:val="26"/>
      <w:szCs w:val="26"/>
      <w:lang w:val="x-none"/>
    </w:rPr>
  </w:style>
  <w:style w:type="paragraph" w:styleId="BodyText2">
    <w:name w:val="Body Text 2"/>
    <w:basedOn w:val="Normal"/>
    <w:link w:val="BodyText2Char"/>
    <w:rsid w:val="002D2ED4"/>
    <w:pPr>
      <w:jc w:val="center"/>
    </w:pPr>
    <w:rPr>
      <w:b/>
      <w:bCs/>
      <w:sz w:val="36"/>
      <w:szCs w:val="36"/>
    </w:rPr>
  </w:style>
  <w:style w:type="paragraph" w:styleId="BodyText3">
    <w:name w:val="Body Text 3"/>
    <w:basedOn w:val="Normal"/>
    <w:link w:val="BodyText3Char"/>
    <w:rsid w:val="002D2ED4"/>
    <w:pPr>
      <w:spacing w:line="360" w:lineRule="auto"/>
      <w:jc w:val="both"/>
    </w:pPr>
    <w:rPr>
      <w:sz w:val="24"/>
      <w:szCs w:val="24"/>
      <w:lang w:eastAsia="x-none"/>
    </w:rPr>
  </w:style>
  <w:style w:type="character" w:customStyle="1" w:styleId="BodyText3Char">
    <w:name w:val="Body Text 3 Char"/>
    <w:link w:val="BodyText3"/>
    <w:rsid w:val="001C1AED"/>
    <w:rPr>
      <w:sz w:val="24"/>
      <w:szCs w:val="24"/>
      <w:lang w:val="ro-RO"/>
    </w:rPr>
  </w:style>
  <w:style w:type="paragraph" w:styleId="Header">
    <w:name w:val="header"/>
    <w:basedOn w:val="Normal"/>
    <w:link w:val="HeaderChar"/>
    <w:uiPriority w:val="99"/>
    <w:rsid w:val="002D2ED4"/>
    <w:pPr>
      <w:tabs>
        <w:tab w:val="center" w:pos="4153"/>
        <w:tab w:val="right" w:pos="8306"/>
      </w:tabs>
    </w:pPr>
  </w:style>
  <w:style w:type="paragraph" w:styleId="Footer">
    <w:name w:val="footer"/>
    <w:basedOn w:val="Normal"/>
    <w:link w:val="FooterChar"/>
    <w:uiPriority w:val="99"/>
    <w:rsid w:val="002D2ED4"/>
    <w:pPr>
      <w:tabs>
        <w:tab w:val="center" w:pos="4153"/>
        <w:tab w:val="right" w:pos="8306"/>
      </w:tabs>
    </w:pPr>
  </w:style>
  <w:style w:type="paragraph" w:styleId="BodyTextIndent3">
    <w:name w:val="Body Text Indent 3"/>
    <w:basedOn w:val="Normal"/>
    <w:link w:val="BodyTextIndent3Char"/>
    <w:rsid w:val="002D2ED4"/>
    <w:pPr>
      <w:spacing w:line="360" w:lineRule="auto"/>
      <w:ind w:firstLine="567"/>
      <w:jc w:val="both"/>
    </w:pPr>
    <w:rPr>
      <w:sz w:val="26"/>
      <w:szCs w:val="26"/>
      <w:lang w:eastAsia="x-none"/>
    </w:rPr>
  </w:style>
  <w:style w:type="paragraph" w:styleId="BlockText">
    <w:name w:val="Block Text"/>
    <w:basedOn w:val="Normal"/>
    <w:rsid w:val="002D2ED4"/>
    <w:pPr>
      <w:spacing w:line="360" w:lineRule="auto"/>
      <w:ind w:left="57" w:right="57" w:firstLine="663"/>
      <w:jc w:val="both"/>
    </w:pPr>
    <w:rPr>
      <w:sz w:val="26"/>
      <w:szCs w:val="26"/>
    </w:rPr>
  </w:style>
  <w:style w:type="character" w:styleId="PageNumber">
    <w:name w:val="page number"/>
    <w:basedOn w:val="DefaultParagraphFont"/>
    <w:rsid w:val="002D2ED4"/>
  </w:style>
  <w:style w:type="paragraph" w:styleId="Caption">
    <w:name w:val="caption"/>
    <w:basedOn w:val="Normal"/>
    <w:next w:val="Normal"/>
    <w:qFormat/>
    <w:rsid w:val="002D2ED4"/>
    <w:pPr>
      <w:spacing w:before="120" w:after="120" w:line="360" w:lineRule="auto"/>
      <w:ind w:firstLine="709"/>
      <w:jc w:val="both"/>
    </w:pPr>
    <w:rPr>
      <w:rFonts w:ascii="Baltica RR" w:hAnsi="Baltica RR"/>
      <w:b/>
      <w:bCs/>
      <w:lang w:val="ru-RU"/>
    </w:rPr>
  </w:style>
  <w:style w:type="paragraph" w:styleId="ListContinue2">
    <w:name w:val="List Continue 2"/>
    <w:basedOn w:val="Normal"/>
    <w:rsid w:val="002D2ED4"/>
    <w:pPr>
      <w:spacing w:after="120"/>
      <w:ind w:left="566"/>
    </w:pPr>
    <w:rPr>
      <w:lang w:val="en-US"/>
    </w:rPr>
  </w:style>
  <w:style w:type="paragraph" w:customStyle="1" w:styleId="Web">
    <w:name w:val="Обычный (Web)"/>
    <w:basedOn w:val="Normal"/>
    <w:rsid w:val="002D2ED4"/>
    <w:pPr>
      <w:spacing w:before="100" w:after="100"/>
    </w:pPr>
    <w:rPr>
      <w:sz w:val="24"/>
      <w:szCs w:val="24"/>
      <w:lang w:val="en-US"/>
    </w:rPr>
  </w:style>
  <w:style w:type="paragraph" w:customStyle="1" w:styleId="BodyTextIndent21">
    <w:name w:val="Body Text Indent 21"/>
    <w:basedOn w:val="Normal"/>
    <w:rsid w:val="002D2ED4"/>
    <w:pPr>
      <w:ind w:firstLine="720"/>
      <w:jc w:val="both"/>
    </w:pPr>
    <w:rPr>
      <w:sz w:val="28"/>
      <w:szCs w:val="28"/>
    </w:rPr>
  </w:style>
  <w:style w:type="paragraph" w:styleId="List">
    <w:name w:val="List"/>
    <w:basedOn w:val="Normal"/>
    <w:rsid w:val="002D2ED4"/>
    <w:pPr>
      <w:ind w:left="283" w:hanging="283"/>
    </w:pPr>
    <w:rPr>
      <w:rFonts w:ascii="AV Helvetica" w:hAnsi="AV Helvetica"/>
      <w:i/>
      <w:iCs/>
      <w:sz w:val="24"/>
      <w:szCs w:val="24"/>
      <w:lang w:val="ru-RU"/>
    </w:rPr>
  </w:style>
  <w:style w:type="paragraph" w:customStyle="1" w:styleId="newstext">
    <w:name w:val="newstext"/>
    <w:basedOn w:val="Normal"/>
    <w:rsid w:val="002D2ED4"/>
    <w:pPr>
      <w:spacing w:before="100" w:beforeAutospacing="1" w:after="100" w:afterAutospacing="1"/>
    </w:pPr>
    <w:rPr>
      <w:rFonts w:ascii="Arial" w:hAnsi="Arial" w:cs="Arial"/>
      <w:lang w:val="ru-RU"/>
    </w:rPr>
  </w:style>
  <w:style w:type="paragraph" w:customStyle="1" w:styleId="a">
    <w:name w:val="Стиль"/>
    <w:rsid w:val="002D2ED4"/>
    <w:rPr>
      <w:sz w:val="28"/>
      <w:lang w:val="en-AU" w:eastAsia="ru-RU"/>
    </w:rPr>
  </w:style>
  <w:style w:type="paragraph" w:styleId="Title">
    <w:name w:val="Title"/>
    <w:basedOn w:val="Normal"/>
    <w:link w:val="TitleChar"/>
    <w:qFormat/>
    <w:rsid w:val="002D2ED4"/>
    <w:pPr>
      <w:tabs>
        <w:tab w:val="left" w:pos="851"/>
        <w:tab w:val="left" w:pos="993"/>
      </w:tabs>
      <w:jc w:val="center"/>
    </w:pPr>
    <w:rPr>
      <w:b/>
      <w:sz w:val="28"/>
    </w:rPr>
  </w:style>
  <w:style w:type="table" w:styleId="TableElegant">
    <w:name w:val="Table Elegant"/>
    <w:basedOn w:val="TableNormal"/>
    <w:rsid w:val="002D2ED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CharChar">
    <w:name w:val="Char Char Char Знак Char Char Знак"/>
    <w:basedOn w:val="Normal"/>
    <w:rsid w:val="002D2ED4"/>
    <w:pPr>
      <w:spacing w:after="160" w:line="240" w:lineRule="exact"/>
    </w:pPr>
    <w:rPr>
      <w:rFonts w:ascii="Arial" w:eastAsia="Batang" w:hAnsi="Arial" w:cs="Arial"/>
      <w:lang w:val="en-US" w:eastAsia="en-US"/>
    </w:rPr>
  </w:style>
  <w:style w:type="paragraph" w:customStyle="1" w:styleId="Char1">
    <w:name w:val="Char1"/>
    <w:basedOn w:val="Normal"/>
    <w:rsid w:val="002D2ED4"/>
    <w:pPr>
      <w:spacing w:after="160" w:line="240" w:lineRule="exact"/>
    </w:pPr>
    <w:rPr>
      <w:rFonts w:ascii="Arial" w:eastAsia="Batang" w:hAnsi="Arial" w:cs="Arial"/>
      <w:lang w:val="en-US" w:eastAsia="en-US"/>
    </w:rPr>
  </w:style>
  <w:style w:type="paragraph" w:customStyle="1" w:styleId="a0">
    <w:name w:val="Знак"/>
    <w:basedOn w:val="Normal"/>
    <w:rsid w:val="002D2ED4"/>
    <w:pPr>
      <w:spacing w:after="160" w:line="240" w:lineRule="exact"/>
    </w:pPr>
    <w:rPr>
      <w:rFonts w:ascii="Arial" w:eastAsia="Batang" w:hAnsi="Arial" w:cs="Arial"/>
      <w:lang w:val="en-US" w:eastAsia="en-US"/>
    </w:rPr>
  </w:style>
  <w:style w:type="paragraph" w:customStyle="1" w:styleId="CharCharChar">
    <w:name w:val="Char Char Char"/>
    <w:basedOn w:val="Normal"/>
    <w:rsid w:val="002D2ED4"/>
    <w:pPr>
      <w:spacing w:after="160" w:line="240" w:lineRule="exact"/>
    </w:pPr>
    <w:rPr>
      <w:rFonts w:ascii="Arial" w:eastAsia="Batang" w:hAnsi="Arial" w:cs="Arial"/>
      <w:lang w:val="en-US" w:eastAsia="en-US"/>
    </w:rPr>
  </w:style>
  <w:style w:type="paragraph" w:customStyle="1" w:styleId="CharCharCharCharCharCharChar">
    <w:name w:val="Char Char Char Знак Char Char Знак Char Char Знак"/>
    <w:basedOn w:val="Normal"/>
    <w:rsid w:val="002D2ED4"/>
    <w:pPr>
      <w:spacing w:after="160" w:line="240" w:lineRule="exact"/>
    </w:pPr>
    <w:rPr>
      <w:rFonts w:ascii="Arial" w:eastAsia="Batang" w:hAnsi="Arial" w:cs="Arial"/>
      <w:lang w:val="en-US" w:eastAsia="en-US"/>
    </w:rPr>
  </w:style>
  <w:style w:type="paragraph" w:customStyle="1" w:styleId="CharCharCharCharCharCharChar1CharCharCharCharCharCharCharChar">
    <w:name w:val="Char Char Char Знак Char Char Знак Char Char Знак1 Знак Знак Char Char Знак Char Char Знак Char Char Знак Знак Char Char"/>
    <w:basedOn w:val="Normal"/>
    <w:rsid w:val="002D2ED4"/>
    <w:pPr>
      <w:spacing w:after="160" w:line="240" w:lineRule="exact"/>
    </w:pPr>
    <w:rPr>
      <w:rFonts w:ascii="Arial" w:eastAsia="Batang" w:hAnsi="Arial" w:cs="Arial"/>
      <w:lang w:val="en-US" w:eastAsia="en-US"/>
    </w:rPr>
  </w:style>
  <w:style w:type="paragraph" w:customStyle="1" w:styleId="CharCharCharCharCharCharChar1CharCharCharCharCharChar">
    <w:name w:val="Char Char Char Знак Char Char Знак Char Char Знак1 Знак Знак Char Char Знак Char Char Знак Char Char Знак Знак"/>
    <w:basedOn w:val="Normal"/>
    <w:rsid w:val="002D2ED4"/>
    <w:pPr>
      <w:spacing w:after="160" w:line="240" w:lineRule="exact"/>
    </w:pPr>
    <w:rPr>
      <w:rFonts w:ascii="Arial" w:eastAsia="Batang" w:hAnsi="Arial" w:cs="Arial"/>
      <w:lang w:val="en-US" w:eastAsia="en-US"/>
    </w:rPr>
  </w:style>
  <w:style w:type="paragraph" w:customStyle="1" w:styleId="CharCharCharCharCharCharChar1CharCharCharCharCharCharCharCharChar">
    <w:name w:val="Char Char Char Знак Char Char Знак Char Char Знак1 Знак Знак Char Char Знак Char Char Знак Char Char Знак Знак Char Char Char"/>
    <w:basedOn w:val="Normal"/>
    <w:rsid w:val="002D2ED4"/>
    <w:pPr>
      <w:spacing w:after="160" w:line="240" w:lineRule="exact"/>
    </w:pPr>
    <w:rPr>
      <w:rFonts w:ascii="Arial" w:eastAsia="Batang" w:hAnsi="Arial" w:cs="Arial"/>
      <w:lang w:val="en-US" w:eastAsia="en-US"/>
    </w:rPr>
  </w:style>
  <w:style w:type="paragraph" w:customStyle="1" w:styleId="CharCharCharCharCharCharChar1CharChar">
    <w:name w:val="Char Char Char Знак Char Char Знак Char Char Знак1 Знак Знак Char Char Знак"/>
    <w:basedOn w:val="Normal"/>
    <w:rsid w:val="002D2ED4"/>
    <w:pPr>
      <w:spacing w:after="160" w:line="240" w:lineRule="exact"/>
    </w:pPr>
    <w:rPr>
      <w:rFonts w:ascii="Arial" w:eastAsia="Batang" w:hAnsi="Arial" w:cs="Arial"/>
      <w:lang w:val="en-US" w:eastAsia="en-US"/>
    </w:rPr>
  </w:style>
  <w:style w:type="paragraph" w:styleId="ListContinue">
    <w:name w:val="List Continue"/>
    <w:basedOn w:val="Normal"/>
    <w:rsid w:val="002D2ED4"/>
    <w:pPr>
      <w:spacing w:after="120"/>
      <w:ind w:left="283"/>
    </w:pPr>
  </w:style>
  <w:style w:type="paragraph" w:customStyle="1" w:styleId="CharCharCharCharCharCharChar1CharCharCharCharCharCharCharCharCharCharCharCharChar">
    <w:name w:val="Char Char Char Знак Char Char Знак Char Char Знак1 Знак Знак Char Char Знак Char Char Знак Char Char Знак Знак Char Char Char Char Char Знак Char Char Знак"/>
    <w:basedOn w:val="Normal"/>
    <w:rsid w:val="002D2ED4"/>
    <w:pPr>
      <w:spacing w:after="160" w:line="240" w:lineRule="exact"/>
    </w:pPr>
    <w:rPr>
      <w:rFonts w:ascii="Arial" w:eastAsia="Batang" w:hAnsi="Arial" w:cs="Arial"/>
      <w:lang w:val="en-US" w:eastAsia="en-US"/>
    </w:rPr>
  </w:style>
  <w:style w:type="paragraph" w:customStyle="1" w:styleId="CharCharCharCharCharCharChar1CharCharCharCharCharCharCharCharCharCharCharCharCharCharCharCharCharCharChar">
    <w:name w:val="Char Char Char Знак Char Char Знак Char Char Знак1 Знак Знак Char Char Знак Char Char Знак Char Char Знак Знак Char Char Char Char Char Знак Char Char Знак Char Char Знак Char Char Знак Знак Char Char"/>
    <w:basedOn w:val="Normal"/>
    <w:rsid w:val="002D2ED4"/>
    <w:pPr>
      <w:spacing w:after="160" w:line="240" w:lineRule="exact"/>
    </w:pPr>
    <w:rPr>
      <w:rFonts w:ascii="Arial" w:eastAsia="Batang" w:hAnsi="Arial" w:cs="Arial"/>
      <w:lang w:val="en-US" w:eastAsia="en-US"/>
    </w:rPr>
  </w:style>
  <w:style w:type="table" w:styleId="TableGrid">
    <w:name w:val="Table Grid"/>
    <w:basedOn w:val="TableNormal"/>
    <w:uiPriority w:val="39"/>
    <w:rsid w:val="002D2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1CharChar0">
    <w:name w:val="Char Char Char Знак Char Char Знак Char Char Знак1 Знак Знак Char Char"/>
    <w:basedOn w:val="Normal"/>
    <w:rsid w:val="002D2ED4"/>
    <w:pPr>
      <w:spacing w:after="160" w:line="240" w:lineRule="exact"/>
    </w:pPr>
    <w:rPr>
      <w:rFonts w:ascii="Arial" w:eastAsia="Batang" w:hAnsi="Arial" w:cs="Arial"/>
      <w:lang w:val="en-US" w:eastAsia="en-US"/>
    </w:rPr>
  </w:style>
  <w:style w:type="paragraph" w:customStyle="1" w:styleId="CharCharCharCharCharCharChar1CharCharCharCharCharCharCharCharCharCharCharCharCharCharCharCharChar">
    <w:name w:val="Char Char Char Знак Char Char Знак Char Char Знак1 Знак Знак Char Char Знак Char Char Знак Char Char Знак Знак Char Char Char Char Char Знак Char Char Знак Char Char Знак Char Char Знак Знак"/>
    <w:basedOn w:val="Normal"/>
    <w:rsid w:val="002D2ED4"/>
    <w:pPr>
      <w:spacing w:after="160" w:line="240" w:lineRule="exact"/>
    </w:pPr>
    <w:rPr>
      <w:rFonts w:ascii="Arial" w:eastAsia="Batang" w:hAnsi="Arial" w:cs="Arial"/>
      <w:lang w:val="en-US" w:eastAsia="en-US"/>
    </w:rPr>
  </w:style>
  <w:style w:type="paragraph" w:customStyle="1" w:styleId="CharCharCharCharCharCharChar1CharCharCharCharCharCharCharCharCharCharCharCharCharCharCharCharCharCharCharCharCharChar">
    <w:name w:val="Char Char Char Знак Char Char Знак Char Char Знак1 Знак Знак Char Char Знак Char Char Знак Char Char Знак Знак Char Char Char Char Char Знак Char Char Знак Char Char Знак Char Char Знак Знак Char Char Char Char Char"/>
    <w:basedOn w:val="Normal"/>
    <w:rsid w:val="002D2ED4"/>
    <w:pPr>
      <w:spacing w:after="160" w:line="240" w:lineRule="exact"/>
    </w:pPr>
    <w:rPr>
      <w:rFonts w:ascii="Arial" w:eastAsia="Batang" w:hAnsi="Arial" w:cs="Arial"/>
      <w:lang w:val="en-US" w:eastAsia="en-US"/>
    </w:rPr>
  </w:style>
  <w:style w:type="paragraph" w:customStyle="1" w:styleId="a1">
    <w:name w:val="Знак Знак Знак"/>
    <w:basedOn w:val="Normal"/>
    <w:rsid w:val="002D2ED4"/>
    <w:pPr>
      <w:spacing w:after="160" w:line="240" w:lineRule="exact"/>
    </w:pPr>
    <w:rPr>
      <w:rFonts w:ascii="Arial" w:eastAsia="Batang" w:hAnsi="Arial" w:cs="Arial"/>
      <w:lang w:val="en-US" w:eastAsia="en-US"/>
    </w:rPr>
  </w:style>
  <w:style w:type="paragraph" w:customStyle="1" w:styleId="CharCharCharCharCharCharChar1CharCharCharChar">
    <w:name w:val="Char Char Char Знак Char Char Знак Char Char Знак1 Знак Знак Char Char Знак Char Char"/>
    <w:basedOn w:val="Normal"/>
    <w:rsid w:val="002D2ED4"/>
    <w:pPr>
      <w:spacing w:after="160" w:line="240" w:lineRule="exact"/>
    </w:pPr>
    <w:rPr>
      <w:rFonts w:ascii="Arial" w:eastAsia="Batang" w:hAnsi="Arial" w:cs="Arial"/>
      <w:lang w:val="en-US" w:eastAsia="en-US"/>
    </w:rPr>
  </w:style>
  <w:style w:type="paragraph" w:customStyle="1" w:styleId="CharChar">
    <w:name w:val="Char Char"/>
    <w:basedOn w:val="Normal"/>
    <w:rsid w:val="002D2ED4"/>
    <w:pPr>
      <w:spacing w:after="160" w:line="240" w:lineRule="exact"/>
    </w:pPr>
    <w:rPr>
      <w:rFonts w:ascii="Arial" w:eastAsia="Batang" w:hAnsi="Arial" w:cs="Arial"/>
      <w:lang w:val="en-US" w:eastAsia="en-US"/>
    </w:rPr>
  </w:style>
  <w:style w:type="paragraph" w:customStyle="1" w:styleId="CharCharCharChar">
    <w:name w:val="Знак Знак Знак Char Char Знак Char Char"/>
    <w:basedOn w:val="Normal"/>
    <w:rsid w:val="002D2ED4"/>
    <w:pPr>
      <w:spacing w:after="160" w:line="240" w:lineRule="exact"/>
    </w:pPr>
    <w:rPr>
      <w:rFonts w:ascii="Arial" w:eastAsia="Batang" w:hAnsi="Arial" w:cs="Arial"/>
      <w:lang w:val="en-US" w:eastAsia="en-US"/>
    </w:rPr>
  </w:style>
  <w:style w:type="paragraph" w:customStyle="1" w:styleId="CharCharCharChar0">
    <w:name w:val="Знак Знак Знак Char Char Знак Char Char Знак"/>
    <w:basedOn w:val="Normal"/>
    <w:rsid w:val="002D2ED4"/>
    <w:pPr>
      <w:spacing w:after="160" w:line="240" w:lineRule="exact"/>
    </w:pPr>
    <w:rPr>
      <w:rFonts w:ascii="Arial" w:eastAsia="Batang" w:hAnsi="Arial" w:cs="Arial"/>
      <w:lang w:val="en-US" w:eastAsia="en-US"/>
    </w:rPr>
  </w:style>
  <w:style w:type="paragraph" w:customStyle="1" w:styleId="CharCharCharCharCharCharCharCharCharCharCharChar">
    <w:name w:val="Знак Знак Знак Char Char Знак Char Char Знак Char Char Знак Char Char Знак Знак Char Char Знак Знак Char Char"/>
    <w:basedOn w:val="Normal"/>
    <w:rsid w:val="002D2ED4"/>
    <w:pPr>
      <w:spacing w:after="160" w:line="240" w:lineRule="exact"/>
    </w:pPr>
    <w:rPr>
      <w:rFonts w:ascii="Arial" w:eastAsia="Batang" w:hAnsi="Arial" w:cs="Arial"/>
      <w:lang w:val="en-US" w:eastAsia="en-US"/>
    </w:rPr>
  </w:style>
  <w:style w:type="paragraph" w:customStyle="1" w:styleId="CharChar0">
    <w:name w:val="Char Char Знак"/>
    <w:basedOn w:val="Normal"/>
    <w:rsid w:val="002D2ED4"/>
    <w:pPr>
      <w:spacing w:after="160" w:line="240" w:lineRule="exact"/>
    </w:pPr>
    <w:rPr>
      <w:rFonts w:ascii="Arial" w:eastAsia="Batang" w:hAnsi="Arial" w:cs="Arial"/>
      <w:lang w:val="en-US" w:eastAsia="en-US"/>
    </w:rPr>
  </w:style>
  <w:style w:type="paragraph" w:customStyle="1" w:styleId="CharCharCharCharCharCharCharCharCharCharCharCharCharCharCharChar">
    <w:name w:val="Знак Знак Знак Char Char Знак Char Char Знак Char Char Знак Char Char Знак Знак Char Char Знак Знак Char Char Знак Char Char Знак Char Char Знак"/>
    <w:basedOn w:val="Normal"/>
    <w:rsid w:val="002D2ED4"/>
    <w:pPr>
      <w:spacing w:after="160" w:line="240" w:lineRule="exact"/>
    </w:pPr>
    <w:rPr>
      <w:rFonts w:ascii="Arial" w:eastAsia="Batang" w:hAnsi="Arial" w:cs="Arial"/>
      <w:lang w:val="en-US" w:eastAsia="en-US"/>
    </w:rPr>
  </w:style>
  <w:style w:type="paragraph" w:customStyle="1" w:styleId="CharCharCharCharCharCharCharCharCharCharCharCharCharCharCharCharCharChar">
    <w:name w:val="Знак Знак Знак Char Char Знак Char Char Знак Char Char Знак Char Char Знак Знак Char Char Знак Знак Char Char Знак Char Char Знак Char Char Знак Char Char"/>
    <w:basedOn w:val="Normal"/>
    <w:rsid w:val="002D2ED4"/>
    <w:pPr>
      <w:spacing w:after="160" w:line="240" w:lineRule="exact"/>
    </w:pPr>
    <w:rPr>
      <w:rFonts w:ascii="Arial" w:eastAsia="Batang" w:hAnsi="Arial" w:cs="Arial"/>
      <w:lang w:val="en-US" w:eastAsia="en-US"/>
    </w:rPr>
  </w:style>
  <w:style w:type="paragraph" w:customStyle="1" w:styleId="CharCharCharCharCharCharCharCharCharCharCharCharCharCharCharCharCharCharCharChar">
    <w:name w:val="Знак Знак Знак Char Char Знак Char Char Знак Char Char Знак Char Char Знак Знак Char Char Знак Знак Char Char Знак Char Char Знак Char Char Знак Char Char Знак Char Char Знак"/>
    <w:basedOn w:val="Normal"/>
    <w:rsid w:val="002D2ED4"/>
    <w:pPr>
      <w:spacing w:after="160" w:line="240" w:lineRule="exact"/>
    </w:pPr>
    <w:rPr>
      <w:rFonts w:ascii="Arial" w:eastAsia="Batang" w:hAnsi="Arial" w:cs="Arial"/>
      <w:lang w:val="en-US" w:eastAsia="en-US"/>
    </w:rPr>
  </w:style>
  <w:style w:type="paragraph" w:customStyle="1" w:styleId="CharCharCharCharCharCharCharCharCharCharCharCharCharCharCharCharCharCharCharCharCharCharCharChar">
    <w:name w:val="Знак Знак Знак Char Char Знак Char Char Знак Char Char Знак Char Char Знак Знак Char Char Знак Знак Char Char Знак Char Char Знак Char Char Знак Char Char Знак Char Char Знак Char Char Знак Char Char Знак Знак Знак Знак"/>
    <w:basedOn w:val="Normal"/>
    <w:rsid w:val="002D2ED4"/>
    <w:pPr>
      <w:spacing w:after="160" w:line="240" w:lineRule="exact"/>
    </w:pPr>
    <w:rPr>
      <w:rFonts w:ascii="Arial" w:eastAsia="Batang" w:hAnsi="Arial" w:cs="Arial"/>
      <w:lang w:val="en-US" w:eastAsia="en-US"/>
    </w:rPr>
  </w:style>
  <w:style w:type="paragraph" w:customStyle="1" w:styleId="1">
    <w:name w:val="Знак1"/>
    <w:basedOn w:val="Normal"/>
    <w:rsid w:val="002D2ED4"/>
    <w:pPr>
      <w:spacing w:after="160" w:line="240" w:lineRule="exact"/>
    </w:pPr>
    <w:rPr>
      <w:rFonts w:ascii="Arial" w:eastAsia="Batang" w:hAnsi="Arial" w:cs="Arial"/>
      <w:lang w:val="en-US" w:eastAsia="en-US"/>
    </w:rPr>
  </w:style>
  <w:style w:type="paragraph" w:customStyle="1" w:styleId="1CharCharCharChar">
    <w:name w:val="Знак1 Char Char Знак Char Char"/>
    <w:basedOn w:val="Normal"/>
    <w:rsid w:val="002D2ED4"/>
    <w:pPr>
      <w:spacing w:after="160" w:line="240" w:lineRule="exact"/>
    </w:pPr>
    <w:rPr>
      <w:rFonts w:ascii="Arial" w:eastAsia="Batang" w:hAnsi="Arial" w:cs="Arial"/>
      <w:lang w:val="en-US" w:eastAsia="en-US"/>
    </w:rPr>
  </w:style>
  <w:style w:type="paragraph" w:customStyle="1" w:styleId="1CharCharCharChar0">
    <w:name w:val="Знак1 Char Char Знак Char Char Знак"/>
    <w:basedOn w:val="Normal"/>
    <w:rsid w:val="002D2ED4"/>
    <w:pPr>
      <w:spacing w:after="160" w:line="240" w:lineRule="exact"/>
    </w:pPr>
    <w:rPr>
      <w:rFonts w:ascii="Arial" w:eastAsia="Batang" w:hAnsi="Arial" w:cs="Arial"/>
      <w:lang w:val="en-US" w:eastAsia="en-US"/>
    </w:rPr>
  </w:style>
  <w:style w:type="paragraph" w:customStyle="1" w:styleId="CharCharCharCharCharCharCharCharCharCharCharChar0">
    <w:name w:val="Знак Знак Знак Char Char Знак Char Char Знак Char Char Знак Char Char Знак Знак Char Char Знак Знак Char Char Знак"/>
    <w:basedOn w:val="Normal"/>
    <w:rsid w:val="002D2ED4"/>
    <w:pPr>
      <w:spacing w:after="160" w:line="240" w:lineRule="exact"/>
    </w:pPr>
    <w:rPr>
      <w:rFonts w:ascii="Arial" w:eastAsia="Batang" w:hAnsi="Arial" w:cs="Arial"/>
      <w:lang w:val="en-US" w:eastAsia="en-US"/>
    </w:rPr>
  </w:style>
  <w:style w:type="paragraph" w:customStyle="1" w:styleId="1CharCharCharCharCharCharCharCharCharCharCharChar">
    <w:name w:val="Знак1 Char Char Знак Char Char Знак Char Char Знак Char Char Знак Знак Знак Знак Char Char Знак Char Char Знак"/>
    <w:basedOn w:val="Normal"/>
    <w:rsid w:val="002D2ED4"/>
    <w:pPr>
      <w:spacing w:after="160" w:line="240" w:lineRule="exact"/>
    </w:pPr>
    <w:rPr>
      <w:rFonts w:ascii="Arial" w:eastAsia="Batang" w:hAnsi="Arial" w:cs="Arial"/>
      <w:lang w:val="en-US" w:eastAsia="en-US"/>
    </w:rPr>
  </w:style>
  <w:style w:type="paragraph" w:customStyle="1" w:styleId="1CharCharCharCharCharCharCharCharCharCharCharCharCharChar">
    <w:name w:val="Знак1 Char Char Знак Char Char Знак Char Char Знак Char Char Знак Знак Знак Знак Char Char Знак Char Char Знак Char Char Знак Знак"/>
    <w:basedOn w:val="Normal"/>
    <w:rsid w:val="002D2ED4"/>
    <w:pPr>
      <w:spacing w:after="160" w:line="240" w:lineRule="exact"/>
    </w:pPr>
    <w:rPr>
      <w:rFonts w:ascii="Arial" w:eastAsia="Batang" w:hAnsi="Arial" w:cs="Arial"/>
      <w:lang w:val="en-US" w:eastAsia="en-US"/>
    </w:rPr>
  </w:style>
  <w:style w:type="paragraph" w:customStyle="1" w:styleId="1CharCharCharCharCharCharCharCharCharCharCharCharCharCharCharChar">
    <w:name w:val="Знак1 Char Char Знак Char Char Знак Char Char Знак Char Char Знак Знак Знак Знак Char Char Знак Char Char Знак Char Char Знак Знак Char Char"/>
    <w:basedOn w:val="Normal"/>
    <w:rsid w:val="002D2ED4"/>
    <w:pPr>
      <w:spacing w:after="160" w:line="240" w:lineRule="exact"/>
    </w:pPr>
    <w:rPr>
      <w:rFonts w:ascii="Arial" w:eastAsia="Batang" w:hAnsi="Arial" w:cs="Arial"/>
      <w:lang w:val="en-US" w:eastAsia="en-US"/>
    </w:rPr>
  </w:style>
  <w:style w:type="paragraph" w:customStyle="1" w:styleId="1CharCharCharCharCharCharCharCharCharCharCharCharCharCharCharChar0">
    <w:name w:val="Знак1 Char Char Знак Char Char Знак Char Char Знак Char Char Знак Знак Знак Знак Char Char Знак Char Char Знак Char Char Знак Знак Char Char Знак Знак"/>
    <w:basedOn w:val="Normal"/>
    <w:rsid w:val="002D2ED4"/>
    <w:pPr>
      <w:spacing w:after="160" w:line="240" w:lineRule="exact"/>
    </w:pPr>
    <w:rPr>
      <w:rFonts w:ascii="Arial" w:eastAsia="Batang" w:hAnsi="Arial" w:cs="Arial"/>
      <w:lang w:val="en-US" w:eastAsia="en-US"/>
    </w:rPr>
  </w:style>
  <w:style w:type="paragraph" w:customStyle="1" w:styleId="1CharCharCharCharCharCharCharCharCharCharCharCharCharCharCharCharCharChar">
    <w:name w:val="Знак1 Char Char Знак Char Char Знак Char Char Знак Char Char Знак Знак Знак Знак Char Char Знак Char Char Знак Char Char Знак Знак Char Char Знак Знак Char Char"/>
    <w:basedOn w:val="Normal"/>
    <w:rsid w:val="002D2ED4"/>
    <w:pPr>
      <w:spacing w:after="160" w:line="240" w:lineRule="exact"/>
    </w:pPr>
    <w:rPr>
      <w:rFonts w:ascii="Arial" w:eastAsia="Batang" w:hAnsi="Arial" w:cs="Arial"/>
      <w:lang w:val="en-US" w:eastAsia="en-US"/>
    </w:rPr>
  </w:style>
  <w:style w:type="paragraph" w:customStyle="1" w:styleId="1CharCharCharCharCharCharCharCharCharCharCharCharCharCharCharCharCharCharCharCharChar">
    <w:name w:val="Знак1 Char Char Знак Char Char Знак Char Char Знак Char Char Знак Знак Знак Знак Char Char Знак Char Char Знак Char Char Знак Знак Char Char Знак Знак Char Char Char Char Char Знак Знак"/>
    <w:basedOn w:val="Normal"/>
    <w:rsid w:val="002D2ED4"/>
    <w:pPr>
      <w:spacing w:after="160" w:line="240" w:lineRule="exact"/>
    </w:pPr>
    <w:rPr>
      <w:rFonts w:ascii="Arial" w:eastAsia="Batang" w:hAnsi="Arial" w:cs="Arial"/>
      <w:lang w:val="en-US" w:eastAsia="en-US"/>
    </w:rPr>
  </w:style>
  <w:style w:type="paragraph" w:customStyle="1" w:styleId="a2">
    <w:name w:val="Знак Знак"/>
    <w:basedOn w:val="Normal"/>
    <w:rsid w:val="002D2ED4"/>
    <w:pPr>
      <w:spacing w:after="160" w:line="240" w:lineRule="exact"/>
    </w:pPr>
    <w:rPr>
      <w:rFonts w:ascii="Arial" w:eastAsia="Batang" w:hAnsi="Arial" w:cs="Arial"/>
      <w:lang w:val="en-US" w:eastAsia="en-US"/>
    </w:rPr>
  </w:style>
  <w:style w:type="paragraph" w:customStyle="1" w:styleId="CharCharChar1Char">
    <w:name w:val="Char Char Char1 Char"/>
    <w:basedOn w:val="Normal"/>
    <w:rsid w:val="002D2ED4"/>
    <w:pPr>
      <w:spacing w:after="160" w:line="240" w:lineRule="exact"/>
    </w:pPr>
    <w:rPr>
      <w:rFonts w:ascii="Arial" w:eastAsia="Batang" w:hAnsi="Arial" w:cs="Arial"/>
      <w:lang w:val="en-US" w:eastAsia="en-US"/>
    </w:rPr>
  </w:style>
  <w:style w:type="paragraph" w:customStyle="1" w:styleId="CharChar1CharCharCharCharCharCharCharCharCharCharCharCharCharCharCharChar">
    <w:name w:val="Char Char1 Знак Знак Char Char Знак Знак Char Char Знак Знак Char Char Знак Знак Char Char Знак Знак Char Char Char Char Char Знак Знак Char Char Char"/>
    <w:basedOn w:val="Normal"/>
    <w:rsid w:val="002D2ED4"/>
    <w:pPr>
      <w:spacing w:after="160" w:line="240" w:lineRule="exact"/>
    </w:pPr>
    <w:rPr>
      <w:rFonts w:ascii="Arial" w:eastAsia="Batang" w:hAnsi="Arial" w:cs="Arial"/>
      <w:lang w:val="en-US" w:eastAsia="en-US"/>
    </w:rPr>
  </w:style>
  <w:style w:type="paragraph" w:customStyle="1" w:styleId="CharChar1CharCharCharCharCharCharCharChar">
    <w:name w:val="Char Char1 Знак Знак Char Char Знак Знак Char Char Знак Знак Char Char Знак Знак Char Char Знак Знак"/>
    <w:basedOn w:val="Normal"/>
    <w:rsid w:val="002D2ED4"/>
    <w:pPr>
      <w:spacing w:after="160" w:line="240" w:lineRule="exact"/>
    </w:pPr>
    <w:rPr>
      <w:rFonts w:ascii="Arial" w:eastAsia="Batang" w:hAnsi="Arial" w:cs="Arial"/>
      <w:lang w:val="en-US" w:eastAsia="en-US"/>
    </w:rPr>
  </w:style>
  <w:style w:type="paragraph" w:customStyle="1" w:styleId="CharChar1CharCharCharCharCharCharCharCharCharCharCharCharCharCharChar">
    <w:name w:val="Char Char1 Знак Знак Char Char Знак Знак Char Char Знак Знак Char Char Знак Знак Char Char Знак Знак Char Char Char Char Char Знак Знак Char Char Знак Знак"/>
    <w:basedOn w:val="Normal"/>
    <w:rsid w:val="002D2ED4"/>
    <w:pPr>
      <w:spacing w:after="160" w:line="240" w:lineRule="exact"/>
    </w:pPr>
    <w:rPr>
      <w:rFonts w:ascii="Arial" w:eastAsia="Batang" w:hAnsi="Arial" w:cs="Arial"/>
      <w:lang w:val="en-US" w:eastAsia="en-US"/>
    </w:rPr>
  </w:style>
  <w:style w:type="paragraph" w:customStyle="1" w:styleId="CharChar1CharCharCharCharCharCharCharCharCharCharCharCharCharCharCharCharChar">
    <w:name w:val="Char Char1 Знак Знак Char Char Знак Знак Char Char Знак Знак Char Char Знак Знак Char Char Знак Знак Char Char Char Char Char Знак Знак Char Char Знак Знак Char Char Знак Знак"/>
    <w:basedOn w:val="Normal"/>
    <w:rsid w:val="002D2ED4"/>
    <w:pPr>
      <w:spacing w:after="160" w:line="240" w:lineRule="exact"/>
    </w:pPr>
    <w:rPr>
      <w:rFonts w:ascii="Arial" w:eastAsia="Batang" w:hAnsi="Arial" w:cs="Arial"/>
      <w:lang w:val="en-US" w:eastAsia="en-US"/>
    </w:rPr>
  </w:style>
  <w:style w:type="paragraph" w:customStyle="1" w:styleId="CharCharCharCharCharChar">
    <w:name w:val="Знак Знак Знак Char Char Знак Char Char Знак Char Char"/>
    <w:basedOn w:val="Normal"/>
    <w:rsid w:val="002D2ED4"/>
    <w:pPr>
      <w:spacing w:after="160" w:line="240" w:lineRule="exact"/>
    </w:pPr>
    <w:rPr>
      <w:rFonts w:ascii="Arial" w:eastAsia="Batang" w:hAnsi="Arial" w:cs="Arial"/>
      <w:lang w:val="en-US" w:eastAsia="en-US"/>
    </w:rPr>
  </w:style>
  <w:style w:type="paragraph" w:customStyle="1" w:styleId="CharChar1CharCharCharCharCharCharCharChar0">
    <w:name w:val="Char Char1 Знак Знак Char Char Знак Знак Char Char Знак Знак Char Char Знак Знак Char Char Знак Знак0"/>
    <w:basedOn w:val="Normal"/>
    <w:rsid w:val="002D2ED4"/>
    <w:pPr>
      <w:spacing w:after="160" w:line="240" w:lineRule="exact"/>
    </w:pPr>
    <w:rPr>
      <w:rFonts w:ascii="Arial" w:eastAsia="Batang" w:hAnsi="Arial" w:cs="Arial"/>
      <w:lang w:val="en-US" w:eastAsia="en-US"/>
    </w:rPr>
  </w:style>
  <w:style w:type="paragraph" w:customStyle="1" w:styleId="CharChar1CharCharCharCharCharCharCharCharCharCharCharCharCharCharCharCharCharCharCharCharCharChar">
    <w:name w:val="Char Char1 Знак Знак Char Char Знак Знак Char Char Знак Знак Char Char Знак Знак Char Char Знак Знак Char Char Char Char Char Знак Знак Char Char Знак Знак Char Char Знак Знак Char Char Знак Знак Char Char Char"/>
    <w:basedOn w:val="Normal"/>
    <w:rsid w:val="002D2ED4"/>
    <w:pPr>
      <w:spacing w:after="160" w:line="240" w:lineRule="exact"/>
    </w:pPr>
    <w:rPr>
      <w:rFonts w:ascii="Arial" w:eastAsia="Batang" w:hAnsi="Arial" w:cs="Arial"/>
      <w:lang w:val="en-US" w:eastAsia="en-US"/>
    </w:rPr>
  </w:style>
  <w:style w:type="paragraph" w:customStyle="1" w:styleId="CharChar1">
    <w:name w:val="Char Char1 Знак Знак"/>
    <w:basedOn w:val="Normal"/>
    <w:rsid w:val="002D2ED4"/>
    <w:pPr>
      <w:spacing w:after="160" w:line="240" w:lineRule="exact"/>
    </w:pPr>
    <w:rPr>
      <w:rFonts w:ascii="Arial" w:eastAsia="Batang" w:hAnsi="Arial" w:cs="Arial"/>
      <w:lang w:val="en-US" w:eastAsia="en-US"/>
    </w:rPr>
  </w:style>
  <w:style w:type="paragraph" w:customStyle="1" w:styleId="CharChar1CharCharCharCharCharCharCharCharCharCharCharCharCharCharCharCharCharCharCharCharCharCharCharChar">
    <w:name w:val="Char Char1 Знак Знак Char Char Знак Знак Char Char Знак Знак Char Char Знак Знак Char Char Знак Знак Char Char Char Char Char Знак Знак Char Char Знак Знак Char Char Знак Знак Char Char Знак Знак Char Char Char Char Char Знак Знак"/>
    <w:basedOn w:val="Normal"/>
    <w:rsid w:val="002D2ED4"/>
    <w:pPr>
      <w:spacing w:after="160" w:line="240" w:lineRule="exact"/>
    </w:pPr>
    <w:rPr>
      <w:rFonts w:ascii="Arial" w:eastAsia="Batang" w:hAnsi="Arial" w:cs="Arial"/>
      <w:lang w:val="en-US" w:eastAsia="en-US"/>
    </w:rPr>
  </w:style>
  <w:style w:type="paragraph" w:customStyle="1" w:styleId="CharChar1CharCharCharCharCharCharCharCharCharCharCharCharChar">
    <w:name w:val="Char Char1 Знак Знак Char Char Знак Знак Char Char Знак Знак Char Char Знак Знак Char Char Знак Знак Char Char Char Char Char Знак Знак"/>
    <w:basedOn w:val="Normal"/>
    <w:rsid w:val="002D2ED4"/>
    <w:pPr>
      <w:spacing w:after="160" w:line="240" w:lineRule="exact"/>
    </w:pPr>
    <w:rPr>
      <w:rFonts w:ascii="Arial" w:eastAsia="Batang" w:hAnsi="Arial" w:cs="Arial"/>
      <w:lang w:val="en-US" w:eastAsia="en-US"/>
    </w:rPr>
  </w:style>
  <w:style w:type="paragraph" w:customStyle="1" w:styleId="1CharCharCharChar00">
    <w:name w:val="Знак1 Char Char Знак Char Char Знак0"/>
    <w:basedOn w:val="Normal"/>
    <w:rsid w:val="002D2ED4"/>
    <w:pPr>
      <w:spacing w:after="160" w:line="240" w:lineRule="exact"/>
    </w:pPr>
    <w:rPr>
      <w:rFonts w:ascii="Arial" w:eastAsia="Batang" w:hAnsi="Arial" w:cs="Arial"/>
      <w:lang w:val="en-US" w:eastAsia="en-US"/>
    </w:rPr>
  </w:style>
  <w:style w:type="paragraph" w:customStyle="1" w:styleId="10">
    <w:name w:val="Знак Знак1"/>
    <w:basedOn w:val="Normal"/>
    <w:rsid w:val="002D2ED4"/>
    <w:pPr>
      <w:spacing w:after="160" w:line="240" w:lineRule="exact"/>
    </w:pPr>
    <w:rPr>
      <w:rFonts w:ascii="Arial" w:eastAsia="Batang" w:hAnsi="Arial" w:cs="Arial"/>
      <w:lang w:val="en-US" w:eastAsia="en-US"/>
    </w:rPr>
  </w:style>
  <w:style w:type="paragraph" w:customStyle="1" w:styleId="Default">
    <w:name w:val="Default"/>
    <w:rsid w:val="002D2ED4"/>
    <w:pPr>
      <w:autoSpaceDE w:val="0"/>
      <w:autoSpaceDN w:val="0"/>
      <w:adjustRightInd w:val="0"/>
    </w:pPr>
    <w:rPr>
      <w:color w:val="000000"/>
      <w:sz w:val="24"/>
      <w:szCs w:val="24"/>
      <w:lang w:val="ru-RU" w:eastAsia="ru-RU"/>
    </w:rPr>
  </w:style>
  <w:style w:type="paragraph" w:customStyle="1" w:styleId="1CharChar">
    <w:name w:val="Знак Знак1 Char Char Знак Знак"/>
    <w:basedOn w:val="Normal"/>
    <w:rsid w:val="002D2ED4"/>
    <w:pPr>
      <w:spacing w:after="160" w:line="240" w:lineRule="exact"/>
    </w:pPr>
    <w:rPr>
      <w:rFonts w:ascii="Arial" w:eastAsia="Batang" w:hAnsi="Arial" w:cs="Arial"/>
      <w:lang w:val="en-US" w:eastAsia="en-US"/>
    </w:rPr>
  </w:style>
  <w:style w:type="paragraph" w:customStyle="1" w:styleId="1CharCharCharChar1">
    <w:name w:val="Знак Знак1 Char Char Знак Знак Char Char Знак Знак"/>
    <w:basedOn w:val="Normal"/>
    <w:rsid w:val="002D2ED4"/>
    <w:pPr>
      <w:spacing w:after="160" w:line="240" w:lineRule="exact"/>
    </w:pPr>
    <w:rPr>
      <w:rFonts w:ascii="Arial" w:eastAsia="Batang" w:hAnsi="Arial" w:cs="Arial"/>
      <w:lang w:val="en-US" w:eastAsia="en-US"/>
    </w:rPr>
  </w:style>
  <w:style w:type="paragraph" w:customStyle="1" w:styleId="1CharChar0">
    <w:name w:val="Знак Знак1 Char Char Знак Знак0"/>
    <w:basedOn w:val="Normal"/>
    <w:rsid w:val="002D2ED4"/>
    <w:pPr>
      <w:spacing w:after="160" w:line="240" w:lineRule="exact"/>
    </w:pPr>
    <w:rPr>
      <w:rFonts w:ascii="Arial" w:eastAsia="Batang" w:hAnsi="Arial" w:cs="Arial"/>
      <w:lang w:val="en-US" w:eastAsia="en-US"/>
    </w:rPr>
  </w:style>
  <w:style w:type="paragraph" w:styleId="NormalWeb">
    <w:name w:val="Normal (Web)"/>
    <w:basedOn w:val="Normal"/>
    <w:uiPriority w:val="99"/>
    <w:rsid w:val="002D2ED4"/>
    <w:pPr>
      <w:spacing w:before="100" w:beforeAutospacing="1" w:after="100" w:afterAutospacing="1"/>
    </w:pPr>
    <w:rPr>
      <w:color w:val="000000"/>
      <w:sz w:val="24"/>
      <w:szCs w:val="24"/>
      <w:lang w:val="en-US" w:eastAsia="en-US"/>
    </w:rPr>
  </w:style>
  <w:style w:type="paragraph" w:customStyle="1" w:styleId="1CharCharCharCharCharCharCharCharCharCharCharCharCharCharCharCharCharCharCharCharCharCharChar">
    <w:name w:val="Знак1 Char Char Знак Char Char Знак Char Char Знак Char Char Знак Знак Знак Знак Char Char Знак Char Char Знак Char Char Знак Знак Char Char Знак Знак Char Char Char Char Char Знак Знак Char Char"/>
    <w:basedOn w:val="Normal"/>
    <w:rsid w:val="002D2ED4"/>
    <w:pPr>
      <w:spacing w:after="160" w:line="240" w:lineRule="exact"/>
    </w:pPr>
    <w:rPr>
      <w:rFonts w:ascii="Arial" w:eastAsia="Batang" w:hAnsi="Arial" w:cs="Arial"/>
      <w:lang w:val="en-US" w:eastAsia="en-US"/>
    </w:rPr>
  </w:style>
  <w:style w:type="paragraph" w:customStyle="1" w:styleId="1CharCharCharChar01">
    <w:name w:val="Знак Знак1 Char Char Знак Знак Char Char Знак Знак0"/>
    <w:basedOn w:val="Normal"/>
    <w:rsid w:val="002D2ED4"/>
    <w:pPr>
      <w:spacing w:after="160" w:line="240" w:lineRule="exact"/>
    </w:pPr>
    <w:rPr>
      <w:rFonts w:ascii="Arial" w:eastAsia="Batang" w:hAnsi="Arial" w:cs="Arial"/>
      <w:lang w:val="en-US" w:eastAsia="en-US"/>
    </w:rPr>
  </w:style>
  <w:style w:type="paragraph" w:customStyle="1" w:styleId="1CharCharCharChar2">
    <w:name w:val="Знак Знак1 Char Char Знак Знак Char Char"/>
    <w:basedOn w:val="Normal"/>
    <w:rsid w:val="002D2ED4"/>
    <w:pPr>
      <w:spacing w:after="160" w:line="240" w:lineRule="exact"/>
    </w:pPr>
    <w:rPr>
      <w:rFonts w:ascii="Arial" w:eastAsia="Batang" w:hAnsi="Arial" w:cs="Arial"/>
      <w:lang w:val="en-US" w:eastAsia="en-US"/>
    </w:rPr>
  </w:style>
  <w:style w:type="paragraph" w:customStyle="1" w:styleId="CharChar1CharChar">
    <w:name w:val="Char Char1 Знак Знак Char Char Знак Знак"/>
    <w:basedOn w:val="Normal"/>
    <w:rsid w:val="002D2ED4"/>
    <w:pPr>
      <w:spacing w:after="160" w:line="240" w:lineRule="exact"/>
    </w:pPr>
    <w:rPr>
      <w:rFonts w:ascii="Arial" w:eastAsia="Batang" w:hAnsi="Arial" w:cs="Arial"/>
      <w:lang w:val="en-US" w:eastAsia="en-US"/>
    </w:rPr>
  </w:style>
  <w:style w:type="paragraph" w:customStyle="1" w:styleId="1CharCharCharCharCharChar">
    <w:name w:val="Знак Знак1 Char Char Знак Знак Char Char Знак Знак Char Char Знак Знак"/>
    <w:basedOn w:val="Normal"/>
    <w:rsid w:val="002D2ED4"/>
    <w:pPr>
      <w:spacing w:after="160" w:line="240" w:lineRule="exact"/>
    </w:pPr>
    <w:rPr>
      <w:rFonts w:ascii="Arial" w:eastAsia="Batang" w:hAnsi="Arial" w:cs="Arial"/>
      <w:lang w:val="en-US" w:eastAsia="en-US"/>
    </w:rPr>
  </w:style>
  <w:style w:type="paragraph" w:customStyle="1" w:styleId="1CharCharCharCharCharCharCharCharCharCharChar">
    <w:name w:val="Знак Знак1 Char Char Знак Знак Char Char Знак Знак Char Char Знак Знак Char Char Char Char Char Знак Знак"/>
    <w:basedOn w:val="Normal"/>
    <w:rsid w:val="002D2ED4"/>
    <w:pPr>
      <w:spacing w:after="160" w:line="240" w:lineRule="exact"/>
    </w:pPr>
    <w:rPr>
      <w:rFonts w:ascii="Arial" w:eastAsia="Batang" w:hAnsi="Arial" w:cs="Arial"/>
      <w:lang w:val="en-US" w:eastAsia="en-US"/>
    </w:rPr>
  </w:style>
  <w:style w:type="paragraph" w:customStyle="1" w:styleId="1CharCharCharCharCharCharCharCharCharCharCharCharCharCharCharChar1">
    <w:name w:val="Знак Знак1 Char Char Знак Знак Char Char Знак Знак Char Char Знак Знак Char Char Char Char Char Знак Знак Char Char Char Char Char Знак Знак"/>
    <w:basedOn w:val="Normal"/>
    <w:rsid w:val="002D2ED4"/>
    <w:pPr>
      <w:spacing w:after="160" w:line="240" w:lineRule="exact"/>
    </w:pPr>
    <w:rPr>
      <w:rFonts w:ascii="Arial" w:eastAsia="Batang" w:hAnsi="Arial" w:cs="Arial"/>
      <w:lang w:val="en-US" w:eastAsia="en-US"/>
    </w:rPr>
  </w:style>
  <w:style w:type="paragraph" w:customStyle="1" w:styleId="1CharCharCharCharCharCharCharCharCharCharCharCharCharCharCharCharCharChar0">
    <w:name w:val="Знак Знак1 Char Char Знак Знак Char Char Знак Знак Char Char Знак Знак Char Char Char Char Char Знак Знак Char Char Char Char Char Знак Знак Char Char Знак Знак"/>
    <w:basedOn w:val="Normal"/>
    <w:rsid w:val="002D2ED4"/>
    <w:pPr>
      <w:spacing w:after="160" w:line="240" w:lineRule="exact"/>
    </w:pPr>
    <w:rPr>
      <w:rFonts w:ascii="Arial" w:eastAsia="Batang" w:hAnsi="Arial" w:cs="Arial"/>
      <w:lang w:val="en-US" w:eastAsia="en-US"/>
    </w:rPr>
  </w:style>
  <w:style w:type="paragraph" w:customStyle="1" w:styleId="1CharCharCharCharCharCharCharCharCharCharCharCharCharCharCharCharCharCharCharChar">
    <w:name w:val="Знак Знак1 Char Char Знак Знак Char Char Знак Знак Char Char Знак Знак Char Char Char Char Char Знак Знак Char Char Char Char Char Знак Знак Char Char Знак Знак Char Char Знак Знак"/>
    <w:basedOn w:val="Normal"/>
    <w:rsid w:val="002D2ED4"/>
    <w:pPr>
      <w:spacing w:after="160" w:line="240" w:lineRule="exact"/>
    </w:pPr>
    <w:rPr>
      <w:rFonts w:ascii="Arial" w:eastAsia="Batang" w:hAnsi="Arial" w:cs="Arial"/>
      <w:lang w:val="en-US" w:eastAsia="en-US"/>
    </w:rPr>
  </w:style>
  <w:style w:type="paragraph" w:customStyle="1" w:styleId="1CharCharCharCharCharCharCharCharCharCharCharCharCharCharCharCharCharCharCharCharCharChar">
    <w:name w:val="Знак Знак1 Char Char Знак Знак Char Char Знак Знак Char Char Знак Знак Char Char Char Char Char Знак Знак Char Char Char Char Char Знак Знак Char Char Знак Знак Char Char Знак Знак Char Char Знак Знак"/>
    <w:basedOn w:val="Normal"/>
    <w:rsid w:val="002D2ED4"/>
    <w:pPr>
      <w:spacing w:after="160" w:line="240" w:lineRule="exact"/>
    </w:pPr>
    <w:rPr>
      <w:rFonts w:ascii="Arial" w:eastAsia="Batang" w:hAnsi="Arial" w:cs="Arial"/>
      <w:lang w:val="en-US" w:eastAsia="en-US"/>
    </w:rPr>
  </w:style>
  <w:style w:type="paragraph" w:customStyle="1" w:styleId="1CharCharCharCharCharCharCharCharCharCharCharCharCharCharCharCharCharCharCharChar0">
    <w:name w:val="Знак Знак1 Char Char Знак Знак Char Char Знак Знак Char Char Знак Знак Char Char Char Char Char Знак Знак Char Char Char Char Char Знак Знак Char Char Знак Знак Char Char Знак Знак0"/>
    <w:basedOn w:val="Normal"/>
    <w:rsid w:val="002D2ED4"/>
    <w:pPr>
      <w:spacing w:after="160" w:line="240" w:lineRule="exact"/>
    </w:pPr>
    <w:rPr>
      <w:rFonts w:ascii="Arial" w:eastAsia="Batang" w:hAnsi="Arial" w:cs="Arial"/>
      <w:lang w:val="en-US" w:eastAsia="en-US"/>
    </w:rPr>
  </w:style>
  <w:style w:type="paragraph" w:customStyle="1" w:styleId="1CharCharCharCharCharCharCharCharCharCharCharCharCharCharCharCharCharCharCharCharCharChar0">
    <w:name w:val="Знак Знак1 Char Char Знак Знак Char Char Знак Знак Char Char Знак Знак Char Char Char Char Char Знак Знак Char Char Char Char Char Знак Знак Char Char Знак Знак Char Char Знак Знак Char Char Знак Знак0"/>
    <w:basedOn w:val="Normal"/>
    <w:rsid w:val="002D2ED4"/>
    <w:pPr>
      <w:spacing w:after="160" w:line="240" w:lineRule="exact"/>
    </w:pPr>
    <w:rPr>
      <w:rFonts w:ascii="Arial" w:eastAsia="Batang" w:hAnsi="Arial" w:cs="Arial"/>
      <w:lang w:val="en-US" w:eastAsia="en-US"/>
    </w:rPr>
  </w:style>
  <w:style w:type="paragraph" w:customStyle="1" w:styleId="1CharCharCharCharCharCharCharCharCharCharCharCharCharCharCharCharCharCharCharCharCharCharCharChar">
    <w:name w:val="Знак Знак1 Char Char Знак Знак Char Char Знак Знак Char Char Знак Знак Char Char Char Char Char Знак Знак Char Char Char Char Char Знак Знак Char Char Знак Знак Char Char Знак Знак Char Char Знак Знак Char Char Знак Знак"/>
    <w:basedOn w:val="Normal"/>
    <w:rsid w:val="002D2ED4"/>
    <w:pPr>
      <w:spacing w:after="160" w:line="240" w:lineRule="exact"/>
    </w:pPr>
    <w:rPr>
      <w:rFonts w:ascii="Arial" w:eastAsia="Batang" w:hAnsi="Arial" w:cs="Arial"/>
      <w:lang w:val="en-US" w:eastAsia="en-US"/>
    </w:rPr>
  </w:style>
  <w:style w:type="paragraph" w:customStyle="1" w:styleId="11">
    <w:name w:val="1"/>
    <w:basedOn w:val="Normal"/>
    <w:rsid w:val="002D2ED4"/>
    <w:pPr>
      <w:spacing w:after="160" w:line="240" w:lineRule="exact"/>
    </w:pPr>
    <w:rPr>
      <w:rFonts w:ascii="Arial" w:eastAsia="Batang" w:hAnsi="Arial" w:cs="Arial"/>
      <w:lang w:val="en-US" w:eastAsia="en-US"/>
    </w:rPr>
  </w:style>
  <w:style w:type="paragraph" w:customStyle="1" w:styleId="1CharCharCharCharCharCharCharCharCharCharCharCharCharCharCharCharCharCharCharCharCharCharCharChar0">
    <w:name w:val="Знак Знак1 Char Char Знак Знак Char Char Знак Знак Char Char Знак Знак Char Char Char Char Char Знак Знак Char Char Char Char Char Знак Знак Char Char Знак Знак Char Char Знак Знак Char Char Знак Знак Char Char"/>
    <w:basedOn w:val="Normal"/>
    <w:rsid w:val="002D2ED4"/>
    <w:pPr>
      <w:spacing w:after="160" w:line="240" w:lineRule="exact"/>
    </w:pPr>
    <w:rPr>
      <w:rFonts w:ascii="Arial" w:eastAsia="Batang" w:hAnsi="Arial" w:cs="Arial"/>
      <w:lang w:val="en-US" w:eastAsia="en-US"/>
    </w:rPr>
  </w:style>
  <w:style w:type="paragraph" w:customStyle="1" w:styleId="2CharChar">
    <w:name w:val="Знак Знак2 Char Char Знак Знак"/>
    <w:basedOn w:val="Normal"/>
    <w:rsid w:val="002D2ED4"/>
    <w:pPr>
      <w:spacing w:after="160" w:line="240" w:lineRule="exact"/>
    </w:pPr>
    <w:rPr>
      <w:rFonts w:ascii="Arial" w:eastAsia="Batang" w:hAnsi="Arial" w:cs="Arial"/>
      <w:lang w:val="en-US" w:eastAsia="en-US"/>
    </w:rPr>
  </w:style>
  <w:style w:type="paragraph" w:customStyle="1" w:styleId="2CharCharCharCharCharChar">
    <w:name w:val="Знак Знак2 Char Char Знак Знак Char Char Знак Знак Char Char Знак Знак"/>
    <w:basedOn w:val="Normal"/>
    <w:rsid w:val="002D2ED4"/>
    <w:pPr>
      <w:spacing w:after="160" w:line="240" w:lineRule="exact"/>
    </w:pPr>
    <w:rPr>
      <w:rFonts w:ascii="Arial" w:eastAsia="Batang" w:hAnsi="Arial" w:cs="Arial"/>
      <w:lang w:val="en-US" w:eastAsia="en-US"/>
    </w:rPr>
  </w:style>
  <w:style w:type="paragraph" w:customStyle="1" w:styleId="2CharCharCharCharCharCharCharCharCharChar">
    <w:name w:val="Знак Знак2 Char Char Знак Знак Char Char Знак Знак Char Char Знак Знак Char Char Знак Знак Char Char Знак Знак"/>
    <w:basedOn w:val="Normal"/>
    <w:rsid w:val="002D2ED4"/>
    <w:pPr>
      <w:spacing w:after="160" w:line="240" w:lineRule="exact"/>
    </w:pPr>
    <w:rPr>
      <w:rFonts w:ascii="Arial" w:eastAsia="Batang" w:hAnsi="Arial" w:cs="Arial"/>
      <w:lang w:val="en-US" w:eastAsia="en-US"/>
    </w:rPr>
  </w:style>
  <w:style w:type="paragraph" w:customStyle="1" w:styleId="2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w:basedOn w:val="Normal"/>
    <w:rsid w:val="002D2ED4"/>
    <w:pPr>
      <w:spacing w:after="160" w:line="240" w:lineRule="exact"/>
    </w:pPr>
    <w:rPr>
      <w:rFonts w:ascii="Arial" w:eastAsia="Batang" w:hAnsi="Arial" w:cs="Arial"/>
      <w:lang w:val="en-US" w:eastAsia="en-US"/>
    </w:rPr>
  </w:style>
  <w:style w:type="paragraph" w:customStyle="1" w:styleId="2CharCharCharCharCharCharCharCharCharCharCharCharCharChar0">
    <w:name w:val="Знак Знак2 Char Char Знак Знак Char Char Знак Знак Char Char Знак Знак Char Char Знак Знак Char Char Знак Знак Char Char Знак Знак Char Char"/>
    <w:basedOn w:val="Normal"/>
    <w:rsid w:val="003B5D52"/>
    <w:pPr>
      <w:spacing w:after="160" w:line="240" w:lineRule="exact"/>
    </w:pPr>
    <w:rPr>
      <w:rFonts w:ascii="Arial" w:eastAsia="Batang" w:hAnsi="Arial" w:cs="Arial"/>
      <w:lang w:val="en-US" w:eastAsia="en-US"/>
    </w:rPr>
  </w:style>
  <w:style w:type="paragraph" w:customStyle="1" w:styleId="2CharCharCharCharCharCharCharCharCharCharCharChar">
    <w:name w:val="Знак Знак2 Char Char Знак Знак Char Char Знак Знак Char Char Знак Знак Char Char Знак Знак Char Char Знак Знак Char Char Знак Знак"/>
    <w:basedOn w:val="Normal"/>
    <w:rsid w:val="007F52E2"/>
    <w:pPr>
      <w:spacing w:after="160" w:line="240" w:lineRule="exact"/>
    </w:pPr>
    <w:rPr>
      <w:rFonts w:ascii="Arial" w:eastAsia="Batang" w:hAnsi="Arial" w:cs="Arial"/>
      <w:lang w:val="en-US" w:eastAsia="en-US"/>
    </w:rPr>
  </w:style>
  <w:style w:type="paragraph" w:styleId="BalloonText">
    <w:name w:val="Balloon Text"/>
    <w:basedOn w:val="Normal"/>
    <w:link w:val="BalloonTextChar"/>
    <w:uiPriority w:val="99"/>
    <w:semiHidden/>
    <w:rsid w:val="00E60809"/>
    <w:rPr>
      <w:rFonts w:ascii="Tahoma" w:hAnsi="Tahoma"/>
      <w:sz w:val="16"/>
      <w:szCs w:val="16"/>
      <w:lang w:val="x-none"/>
    </w:rPr>
  </w:style>
  <w:style w:type="paragraph" w:customStyle="1" w:styleId="2CharChar1CharCharCharCharCharChar">
    <w:name w:val="Знак Знак2 Char Char Знак Знак1 Char Char Знак Знак Char Char Знак Знак Char Char Знак Знак"/>
    <w:basedOn w:val="Normal"/>
    <w:rsid w:val="0059481C"/>
    <w:pPr>
      <w:spacing w:after="160" w:line="240" w:lineRule="exact"/>
    </w:pPr>
    <w:rPr>
      <w:rFonts w:ascii="Arial" w:eastAsia="Batang" w:hAnsi="Arial" w:cs="Arial"/>
      <w:lang w:val="en-US" w:eastAsia="en-US"/>
    </w:rPr>
  </w:style>
  <w:style w:type="paragraph" w:customStyle="1" w:styleId="2CharChar1CharCharCharCharCharCharCharCharCharCharCharCharCharCharCharCharCharCharCharChar">
    <w:name w:val="Знак Знак2 Char Char Знак Знак1 Char Char Знак Знак Char Char Знак Знак Char Char Знак Знак Char Char Знак Знак Char Char Знак Знак Char Char Знак Знак Char Char Знак Знак Char Char Знак Знак Char Char Знак Знак Char Char Знак Зна"/>
    <w:basedOn w:val="Normal"/>
    <w:rsid w:val="00D74D25"/>
    <w:pPr>
      <w:spacing w:after="160" w:line="240" w:lineRule="exact"/>
    </w:pPr>
    <w:rPr>
      <w:rFonts w:ascii="Arial" w:eastAsia="Batang" w:hAnsi="Arial" w:cs="Arial"/>
      <w:lang w:val="en-US" w:eastAsia="en-US"/>
    </w:rPr>
  </w:style>
  <w:style w:type="paragraph" w:customStyle="1" w:styleId="2CharChar1CharCharCharCharCharCharCharChar">
    <w:name w:val="Знак Знак2 Char Char Знак Знак1 Char Char Знак Знак Char Char Знак Знак Char Char Знак Знак Char Char"/>
    <w:basedOn w:val="Normal"/>
    <w:rsid w:val="00B01C2E"/>
    <w:pPr>
      <w:spacing w:after="160" w:line="240" w:lineRule="exact"/>
    </w:pPr>
    <w:rPr>
      <w:rFonts w:ascii="Arial" w:eastAsia="Batang" w:hAnsi="Arial" w:cs="Arial"/>
      <w:lang w:val="en-US" w:eastAsia="en-US"/>
    </w:rPr>
  </w:style>
  <w:style w:type="paragraph" w:customStyle="1" w:styleId="1CharChar1">
    <w:name w:val="Знак Знак1 Char Char"/>
    <w:basedOn w:val="Normal"/>
    <w:rsid w:val="005F59C1"/>
    <w:pPr>
      <w:spacing w:after="160" w:line="240" w:lineRule="exact"/>
    </w:pPr>
    <w:rPr>
      <w:rFonts w:ascii="Arial" w:eastAsia="Batang" w:hAnsi="Arial" w:cs="Arial"/>
      <w:lang w:val="en-US" w:eastAsia="en-US"/>
    </w:rPr>
  </w:style>
  <w:style w:type="paragraph" w:customStyle="1" w:styleId="2CharChar1CharChar">
    <w:name w:val="Знак Знак2 Char Char Знак Знак1 Char Char"/>
    <w:basedOn w:val="Normal"/>
    <w:rsid w:val="00D632DA"/>
    <w:pPr>
      <w:spacing w:after="160" w:line="240" w:lineRule="exact"/>
    </w:pPr>
    <w:rPr>
      <w:rFonts w:ascii="Arial" w:eastAsia="Batang" w:hAnsi="Arial" w:cs="Arial"/>
      <w:lang w:val="en-US" w:eastAsia="en-US"/>
    </w:rPr>
  </w:style>
  <w:style w:type="paragraph" w:customStyle="1" w:styleId="1CharCharCharCharCharCharCharCharCharCharCharCharCharCharCharCharCharCharCharCharCharCharCharCharCharCha">
    <w:name w:val="Знак Знак1 Char Char Знак Знак Char Char Знак Знак Char Char Знак Знак Char Char Char Char Char Знак Знак Char Char Char Char Char Знак Знак Char Char Знак Знак Char Char Знак Знак Char Char Знак Знак Char Char Знак Знак Char Cha"/>
    <w:basedOn w:val="Normal"/>
    <w:rsid w:val="00485F51"/>
    <w:pPr>
      <w:spacing w:after="160" w:line="240" w:lineRule="exact"/>
    </w:pPr>
    <w:rPr>
      <w:rFonts w:ascii="Arial" w:eastAsia="Batang" w:hAnsi="Arial" w:cs="Arial"/>
      <w:lang w:val="en-US" w:eastAsia="en-US"/>
    </w:rPr>
  </w:style>
  <w:style w:type="paragraph" w:customStyle="1" w:styleId="2CharChar1CharCharCharCharCharCharCharCharCharCharCharCharCharCharCharChar">
    <w:name w:val="Знак Знак2 Char Char Знак Знак1 Char Char Знак Знак Char Char Знак Знак Char Char Знак Знак Char Char Знак Знак Char Char Знак Знак Char Char Знак Знак Char Char Знак Знак Char Char"/>
    <w:basedOn w:val="Normal"/>
    <w:rsid w:val="005833AA"/>
    <w:pPr>
      <w:spacing w:after="160" w:line="240" w:lineRule="exact"/>
    </w:pPr>
    <w:rPr>
      <w:rFonts w:ascii="Arial" w:eastAsia="Batang" w:hAnsi="Arial" w:cs="Arial"/>
      <w:lang w:val="en-US" w:eastAsia="en-US"/>
    </w:rPr>
  </w:style>
  <w:style w:type="paragraph" w:customStyle="1" w:styleId="2CharChar1CharCharCharCharCharCharCharChar0">
    <w:name w:val="Знак Знак2 Char Char Знак Знак1 Char Char Знак Знак Char Char Знак Знак Знак Знак Char Char Знак Знак Char Char"/>
    <w:basedOn w:val="Normal"/>
    <w:rsid w:val="00A90836"/>
    <w:pPr>
      <w:spacing w:after="160" w:line="240" w:lineRule="exact"/>
    </w:pPr>
    <w:rPr>
      <w:rFonts w:ascii="Arial" w:eastAsia="Batang" w:hAnsi="Arial" w:cs="Arial"/>
      <w:lang w:val="en-US" w:eastAsia="en-US"/>
    </w:rPr>
  </w:style>
  <w:style w:type="paragraph" w:customStyle="1" w:styleId="2CharChar1CharChar0">
    <w:name w:val="Знак Знак2 Char Char Знак Знак1 Char Char Знак Знак"/>
    <w:basedOn w:val="Normal"/>
    <w:rsid w:val="00D26E37"/>
    <w:pPr>
      <w:spacing w:after="160" w:line="240" w:lineRule="exact"/>
    </w:pPr>
    <w:rPr>
      <w:rFonts w:ascii="Arial" w:eastAsia="Batang" w:hAnsi="Arial" w:cs="Arial"/>
      <w:lang w:val="en-US" w:eastAsia="en-US"/>
    </w:rPr>
  </w:style>
  <w:style w:type="paragraph" w:customStyle="1" w:styleId="CharChar2">
    <w:name w:val="Знак Знак Char Char"/>
    <w:basedOn w:val="Normal"/>
    <w:rsid w:val="009671A2"/>
    <w:pPr>
      <w:spacing w:after="160" w:line="240" w:lineRule="exact"/>
    </w:pPr>
    <w:rPr>
      <w:rFonts w:ascii="Arial" w:eastAsia="Batang" w:hAnsi="Arial" w:cs="Arial"/>
      <w:lang w:val="en-US" w:eastAsia="en-US"/>
    </w:rPr>
  </w:style>
  <w:style w:type="paragraph" w:customStyle="1" w:styleId="2CharChar1CharChar1CharChar">
    <w:name w:val="Знак Знак2 Char Char Знак Знак1 Char Char1 Знак Знак Char Char"/>
    <w:basedOn w:val="Normal"/>
    <w:rsid w:val="003812B4"/>
    <w:pPr>
      <w:spacing w:after="160" w:line="240" w:lineRule="exact"/>
    </w:pPr>
    <w:rPr>
      <w:rFonts w:ascii="Arial" w:eastAsia="Batang" w:hAnsi="Arial" w:cs="Arial"/>
      <w:lang w:val="en-US" w:eastAsia="en-US"/>
    </w:rPr>
  </w:style>
  <w:style w:type="paragraph" w:customStyle="1" w:styleId="2CharChar1CharCharCharCharCharCharCharCharCharChar">
    <w:name w:val="Знак Знак2 Char Char Знак Знак1 Char Char Знак Знак Char Char Знак Знак Знак Знак Char Char Знак Знак Char Char Знак Знак Знак Знак Char Char Знак Знак"/>
    <w:basedOn w:val="Normal"/>
    <w:rsid w:val="007714FE"/>
    <w:pPr>
      <w:spacing w:after="160" w:line="240" w:lineRule="exact"/>
    </w:pPr>
    <w:rPr>
      <w:rFonts w:ascii="Arial" w:eastAsia="Batang" w:hAnsi="Arial" w:cs="Arial"/>
      <w:lang w:val="en-US" w:eastAsia="en-US"/>
    </w:rPr>
  </w:style>
  <w:style w:type="character" w:styleId="Strong">
    <w:name w:val="Strong"/>
    <w:uiPriority w:val="22"/>
    <w:qFormat/>
    <w:rsid w:val="001A494A"/>
    <w:rPr>
      <w:b/>
      <w:bCs/>
    </w:rPr>
  </w:style>
  <w:style w:type="paragraph" w:customStyle="1" w:styleId="2CharChar1CharCharCharCharCharCharCharChar1">
    <w:name w:val="Знак Знак2 Char Char Знак Знак1 Char Char Знак Знак Char Char Знак Знак Знак Знак Char Char Знак Знак Char Char Знак Знак"/>
    <w:basedOn w:val="Normal"/>
    <w:rsid w:val="00002343"/>
    <w:pPr>
      <w:spacing w:after="160" w:line="240" w:lineRule="exact"/>
    </w:pPr>
    <w:rPr>
      <w:rFonts w:ascii="Arial" w:eastAsia="Batang" w:hAnsi="Arial" w:cs="Arial"/>
      <w:lang w:val="en-US" w:eastAsia="en-US"/>
    </w:rPr>
  </w:style>
  <w:style w:type="paragraph" w:customStyle="1" w:styleId="2CharChar1CharChar1CharCharCharCharCharCharCharCharCharCharCharCharCharCharCharChar">
    <w:name w:val="Знак Знак2 Char Char Знак Знак1 Char Char1 Знак Знак Char Char Знак Знак Знак Знак Char Char Знак Знак Char Char Знак Знак Char Char Знак Знак Char Char Знак Знак Char Char Знак Знак Char Char Знак Знак Char Char"/>
    <w:basedOn w:val="Normal"/>
    <w:rsid w:val="003E5490"/>
    <w:pPr>
      <w:spacing w:after="160" w:line="240" w:lineRule="exact"/>
    </w:pPr>
    <w:rPr>
      <w:rFonts w:ascii="Arial" w:eastAsia="Batang" w:hAnsi="Arial" w:cs="Arial"/>
      <w:lang w:val="en-US" w:eastAsia="en-US"/>
    </w:rPr>
  </w:style>
  <w:style w:type="paragraph" w:customStyle="1" w:styleId="2CharChar1CharChar1CharChar0">
    <w:name w:val="Знак Знак2 Char Char Знак Знак1 Char Char1 Знак Знак Char Char Знак Знак"/>
    <w:basedOn w:val="Normal"/>
    <w:rsid w:val="00BC34DB"/>
    <w:pPr>
      <w:spacing w:after="160" w:line="240" w:lineRule="exact"/>
    </w:pPr>
    <w:rPr>
      <w:rFonts w:ascii="Arial" w:eastAsia="Batang" w:hAnsi="Arial" w:cs="Arial"/>
      <w:lang w:val="en-US" w:eastAsia="en-US"/>
    </w:rPr>
  </w:style>
  <w:style w:type="paragraph" w:customStyle="1" w:styleId="2CharChar1CharCharCharCharCharCharCharChar2">
    <w:name w:val="Знак Знак2 Char Char Знак Знак1 Char Char Знак Знак Char Char Знак Знак Знак Знак Char Char Знак Знак Char Char Знак Знак Знак Знак"/>
    <w:basedOn w:val="Normal"/>
    <w:rsid w:val="006B6974"/>
    <w:pPr>
      <w:spacing w:after="160" w:line="240" w:lineRule="exact"/>
    </w:pPr>
    <w:rPr>
      <w:rFonts w:ascii="Arial" w:eastAsia="Batang" w:hAnsi="Arial" w:cs="Arial"/>
      <w:lang w:val="en-US" w:eastAsia="en-US"/>
    </w:rPr>
  </w:style>
  <w:style w:type="character" w:customStyle="1" w:styleId="search9">
    <w:name w:val="search9"/>
    <w:rsid w:val="00ED1778"/>
    <w:rPr>
      <w:rFonts w:ascii="Arial" w:hAnsi="Arial" w:cs="Arial" w:hint="default"/>
      <w:b/>
      <w:bCs/>
      <w:color w:val="0000FF"/>
      <w:sz w:val="15"/>
      <w:szCs w:val="15"/>
    </w:rPr>
  </w:style>
  <w:style w:type="paragraph" w:customStyle="1" w:styleId="2">
    <w:name w:val="Знак Знак2"/>
    <w:basedOn w:val="Normal"/>
    <w:rsid w:val="00571B1B"/>
    <w:pPr>
      <w:spacing w:after="160" w:line="240" w:lineRule="exact"/>
    </w:pPr>
    <w:rPr>
      <w:rFonts w:ascii="Arial" w:eastAsia="Batang" w:hAnsi="Arial" w:cs="Arial"/>
      <w:lang w:val="en-US" w:eastAsia="en-US"/>
    </w:rPr>
  </w:style>
  <w:style w:type="table" w:styleId="TableGrid5">
    <w:name w:val="Table Grid 5"/>
    <w:basedOn w:val="TableNormal"/>
    <w:rsid w:val="00E26C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harChar11CharChar0">
    <w:name w:val="Char Char1 Знак Знак1 Char Char0"/>
    <w:basedOn w:val="Normal"/>
    <w:rsid w:val="00D70CAD"/>
    <w:pPr>
      <w:spacing w:after="160" w:line="240" w:lineRule="exact"/>
    </w:pPr>
    <w:rPr>
      <w:rFonts w:ascii="Arial" w:eastAsia="Batang" w:hAnsi="Arial" w:cs="Arial"/>
      <w:lang w:val="en-US" w:eastAsia="en-US"/>
    </w:rPr>
  </w:style>
  <w:style w:type="paragraph" w:customStyle="1" w:styleId="2CharChar1CharChar1CharCharCharCharCharCharCharChar">
    <w:name w:val="Знак Знак2 Char Char Знак Знак1 Char Char1 Знак Знак Char Char Знак Знак Знак Знак Char Char Знак Знак Char Char Знак Знак Char Char Знак Знак"/>
    <w:basedOn w:val="Normal"/>
    <w:rsid w:val="00947A8D"/>
    <w:pPr>
      <w:spacing w:after="160" w:line="240" w:lineRule="exact"/>
    </w:pPr>
    <w:rPr>
      <w:rFonts w:ascii="Arial" w:eastAsia="Batang" w:hAnsi="Arial" w:cs="Arial"/>
      <w:lang w:val="en-US" w:eastAsia="en-US"/>
    </w:rPr>
  </w:style>
  <w:style w:type="paragraph" w:customStyle="1" w:styleId="2CharChar1CharCharCharCharCharCharCharCharCharCharCharCharCharCharCharChar0">
    <w:name w:val="Знак Знак2 Char Char Знак Знак1 Char Char Знак Знак Char Char Знак Знак Char Char Знак Знак Char Char Знак Знак Char Char Знак Знак Char Char Знак Знак Char Char Знак Знак Char Char Знак Знак"/>
    <w:basedOn w:val="Normal"/>
    <w:rsid w:val="00A6600E"/>
    <w:pPr>
      <w:spacing w:after="160" w:line="240" w:lineRule="exact"/>
    </w:pPr>
    <w:rPr>
      <w:rFonts w:ascii="Arial" w:eastAsia="Batang" w:hAnsi="Arial" w:cs="Arial"/>
      <w:lang w:val="en-US" w:eastAsia="en-US"/>
    </w:rPr>
  </w:style>
  <w:style w:type="paragraph" w:customStyle="1" w:styleId="2CharChar1CharCharCharCharCharChar0">
    <w:name w:val="Знак Знак2 Char Char Знак Знак1 Char Char Знак Знак Char Char Знак Знак Знак Знак Char Char Знак Знак"/>
    <w:basedOn w:val="Normal"/>
    <w:rsid w:val="00CA2405"/>
    <w:pPr>
      <w:spacing w:after="160" w:line="240" w:lineRule="exact"/>
    </w:pPr>
    <w:rPr>
      <w:rFonts w:ascii="Arial" w:eastAsia="Batang" w:hAnsi="Arial" w:cs="Arial"/>
      <w:lang w:val="en-US" w:eastAsia="en-US"/>
    </w:rPr>
  </w:style>
  <w:style w:type="paragraph" w:customStyle="1" w:styleId="2CharChar1CharCharCharCharCharCharCharChar00">
    <w:name w:val="Знак Знак2 Char Char Знак Знак1 Char Char Знак Знак Char Char Знак Знак Знак Знак Char Char Знак Знак Char Char Знак Знак Знак Знак0"/>
    <w:basedOn w:val="Normal"/>
    <w:rsid w:val="00292594"/>
    <w:pPr>
      <w:spacing w:after="160" w:line="240" w:lineRule="exact"/>
    </w:pPr>
    <w:rPr>
      <w:rFonts w:ascii="Arial" w:eastAsia="Batang" w:hAnsi="Arial" w:cs="Arial"/>
      <w:lang w:val="en-US" w:eastAsia="en-US"/>
    </w:rPr>
  </w:style>
  <w:style w:type="paragraph" w:customStyle="1" w:styleId="3CharCharCharCharCharCharCharCharCharCharCharCharCharChar">
    <w:name w:val="Знак Знак3 Char Char Знак Знак Char Char Знак Знак Char Char Знак Знак Char Char Знак Знак Char Char Знак Знак Char Char Знак Знак Char Char"/>
    <w:basedOn w:val="Normal"/>
    <w:rsid w:val="00A56D40"/>
    <w:pPr>
      <w:spacing w:after="160" w:line="240" w:lineRule="exact"/>
    </w:pPr>
    <w:rPr>
      <w:rFonts w:ascii="Arial" w:eastAsia="Batang" w:hAnsi="Arial" w:cs="Arial"/>
      <w:lang w:val="en-US" w:eastAsia="en-US"/>
    </w:rPr>
  </w:style>
  <w:style w:type="paragraph" w:customStyle="1" w:styleId="2CharChar1CharChar1CharCharCharCharCharCharCharCharCharCharCharCharCharCharCharChar0">
    <w:name w:val="Знак Знак2 Char Char Знак Знак1 Char Char1 Знак Знак Char Char Знак Знак Знак Знак Char Char Знак Знак Char Char Знак Знак Char Char Знак Знак Char Char Знак Знак Char Char Знак Знак Char Char Знак Знак Char Char Знак Знак Знак Зн"/>
    <w:basedOn w:val="Normal"/>
    <w:rsid w:val="00F01357"/>
    <w:pPr>
      <w:spacing w:after="160" w:line="240" w:lineRule="exact"/>
    </w:pPr>
    <w:rPr>
      <w:rFonts w:ascii="Arial" w:eastAsia="Batang" w:hAnsi="Arial" w:cs="Arial"/>
      <w:lang w:val="en-US" w:eastAsia="en-US"/>
    </w:rPr>
  </w:style>
  <w:style w:type="paragraph" w:customStyle="1" w:styleId="3CharCharCharChar">
    <w:name w:val="Знак Знак3 Char Char Знак Знак Char Char Знак Знак"/>
    <w:basedOn w:val="Normal"/>
    <w:rsid w:val="00A03C60"/>
    <w:pPr>
      <w:spacing w:after="160" w:line="240" w:lineRule="exact"/>
    </w:pPr>
    <w:rPr>
      <w:rFonts w:ascii="Arial" w:eastAsia="Batang" w:hAnsi="Arial" w:cs="Arial"/>
      <w:lang w:val="en-US" w:eastAsia="en-US"/>
    </w:rPr>
  </w:style>
  <w:style w:type="paragraph" w:customStyle="1" w:styleId="3CharChar">
    <w:name w:val="Знак Знак3 Char Char Знак Знак"/>
    <w:basedOn w:val="Normal"/>
    <w:rsid w:val="002566B4"/>
    <w:pPr>
      <w:spacing w:after="160" w:line="240" w:lineRule="exact"/>
    </w:pPr>
    <w:rPr>
      <w:rFonts w:ascii="Arial" w:eastAsia="Batang" w:hAnsi="Arial" w:cs="Arial"/>
      <w:lang w:val="en-US" w:eastAsia="en-US"/>
    </w:rPr>
  </w:style>
  <w:style w:type="paragraph" w:customStyle="1" w:styleId="3CharCharCharCharCharCharCharCharCharCharCharCharCharCharCharChar">
    <w:name w:val="Знак Знак3 Char Char Знак Знак Char Char Знак Знак Char Char Знак Знак Char Char Знак Знак Char Char Знак Знак Char Char Знак Знак Char Char Знак Знак Char Char"/>
    <w:basedOn w:val="Normal"/>
    <w:rsid w:val="003E61F4"/>
    <w:pPr>
      <w:spacing w:after="160" w:line="240" w:lineRule="exact"/>
    </w:pPr>
    <w:rPr>
      <w:rFonts w:ascii="Arial" w:eastAsia="Batang" w:hAnsi="Arial" w:cs="Arial"/>
      <w:lang w:val="en-US" w:eastAsia="en-US"/>
    </w:rPr>
  </w:style>
  <w:style w:type="paragraph" w:customStyle="1" w:styleId="CharChar11CharChar1CharCharCharChar">
    <w:name w:val="Char Char1 Знак Знак1 Char Char1 Знак Знак Char Char Знак Знак Char Char Знак Знак"/>
    <w:basedOn w:val="Normal"/>
    <w:rsid w:val="00F27C04"/>
    <w:pPr>
      <w:spacing w:after="160" w:line="240" w:lineRule="exact"/>
    </w:pPr>
    <w:rPr>
      <w:rFonts w:ascii="Arial" w:eastAsia="Batang" w:hAnsi="Arial" w:cs="Arial"/>
      <w:lang w:val="en-US" w:eastAsia="en-US"/>
    </w:rPr>
  </w:style>
  <w:style w:type="paragraph" w:customStyle="1" w:styleId="3CharCharCharCharCharCharCharChar">
    <w:name w:val="Знак Знак3 Char Char Знак Знак Char Char Знак Знак Char Char Знак Знак Char Char Знак Знак"/>
    <w:basedOn w:val="Normal"/>
    <w:rsid w:val="003725C5"/>
    <w:pPr>
      <w:spacing w:after="160" w:line="240" w:lineRule="exact"/>
    </w:pPr>
    <w:rPr>
      <w:rFonts w:ascii="Arial" w:eastAsia="Batang" w:hAnsi="Arial" w:cs="Arial"/>
      <w:lang w:val="en-US" w:eastAsia="en-US"/>
    </w:rPr>
  </w:style>
  <w:style w:type="paragraph" w:customStyle="1" w:styleId="3CharCharCharCharCharCharCharCharCharCharCharCharCharCharCharCharCharChar">
    <w:name w:val="Знак Знак3 Char Char Знак Знак Char Char Знак Знак Char Char Знак Знак Char Char Знак Знак Char Char Знак Знак Char Char Знак Знак Char Char Знак Знак Знак Знак Char Char Знак Знак Char Char Знак Знак"/>
    <w:basedOn w:val="Normal"/>
    <w:rsid w:val="003F10BD"/>
    <w:pPr>
      <w:spacing w:after="160" w:line="240" w:lineRule="exact"/>
    </w:pPr>
    <w:rPr>
      <w:rFonts w:ascii="Arial" w:eastAsia="Batang" w:hAnsi="Arial" w:cs="Arial"/>
      <w:lang w:val="en-US" w:eastAsia="en-US"/>
    </w:rPr>
  </w:style>
  <w:style w:type="paragraph" w:customStyle="1" w:styleId="3CharCharCharCharCharCharCharCharCharCharCharCharCharCharCharCharCharCharCharChar">
    <w:name w:val="Знак Знак3 Char Char Знак Знак Char Char Знак Знак Char Char Знак Знак Char Char Знак Знак Char Char Знак Знак Char Char Знак Знак Char Char Знак Знак Знак Знак Char Char Знак Знак Char Char Знак Знак Char Char Знак Знак"/>
    <w:basedOn w:val="Normal"/>
    <w:rsid w:val="00D6115E"/>
    <w:pPr>
      <w:spacing w:after="160" w:line="240" w:lineRule="exact"/>
    </w:pPr>
    <w:rPr>
      <w:rFonts w:ascii="Arial" w:eastAsia="Batang" w:hAnsi="Arial" w:cs="Arial"/>
      <w:lang w:val="en-US" w:eastAsia="en-US"/>
    </w:rPr>
  </w:style>
  <w:style w:type="paragraph" w:customStyle="1" w:styleId="CharChar11CharChar1">
    <w:name w:val="Char Char1 Знак Знак1 Char Char1 Знак Знак"/>
    <w:basedOn w:val="Normal"/>
    <w:rsid w:val="003C612F"/>
    <w:pPr>
      <w:spacing w:after="160" w:line="240" w:lineRule="exact"/>
    </w:pPr>
    <w:rPr>
      <w:rFonts w:ascii="Arial" w:eastAsia="Batang" w:hAnsi="Arial" w:cs="Arial"/>
      <w:lang w:val="en-US" w:eastAsia="en-US"/>
    </w:rPr>
  </w:style>
  <w:style w:type="paragraph" w:customStyle="1" w:styleId="3CharCharCharCharCharCharCharCharCharCharCharCharCharCharCharCharCharCharCharCharCharCha">
    <w:name w:val="Знак Знак3 Char Char Знак Знак Char Char Знак Знак Char Char Знак Знак Char Char Знак Знак Char Char Знак Знак Char Char Знак Знак Char Char Знак Знак Знак Знак Char Char Знак Знак Char Char Знак Знак Char Char Знак Знак Char Cha"/>
    <w:basedOn w:val="Normal"/>
    <w:rsid w:val="00572F4D"/>
    <w:pPr>
      <w:spacing w:after="160" w:line="240" w:lineRule="exact"/>
    </w:pPr>
    <w:rPr>
      <w:rFonts w:ascii="Arial" w:eastAsia="Batang" w:hAnsi="Arial" w:cs="Arial"/>
      <w:lang w:val="en-US" w:eastAsia="en-US"/>
    </w:rPr>
  </w:style>
  <w:style w:type="paragraph" w:customStyle="1" w:styleId="3CharCharCharCharCharCharCharCharCharChar">
    <w:name w:val="Знак Знак3 Char Char Знак Знак Char Char Знак Знак Char Char Знак Знак Char Char Знак Знак Char Char"/>
    <w:basedOn w:val="Normal"/>
    <w:rsid w:val="00E544F9"/>
    <w:pPr>
      <w:spacing w:after="160" w:line="240" w:lineRule="exact"/>
    </w:pPr>
    <w:rPr>
      <w:rFonts w:ascii="Arial" w:eastAsia="Batang" w:hAnsi="Arial" w:cs="Arial"/>
      <w:lang w:val="en-US" w:eastAsia="en-US"/>
    </w:rPr>
  </w:style>
  <w:style w:type="paragraph" w:customStyle="1" w:styleId="CharChar11CharChar1CharCharCharCharCharCharCharCharCharCharCharChar">
    <w:name w:val="Char Char1 Знак Знак1 Char Char1 Знак Знак Char Char Знак Знак Char Char Знак Знак Char Char Знак Знак Char Char Знак Знак Char Char Знак Знак Char Char"/>
    <w:basedOn w:val="Normal"/>
    <w:rsid w:val="00586E47"/>
    <w:pPr>
      <w:spacing w:after="160" w:line="240" w:lineRule="exact"/>
    </w:pPr>
    <w:rPr>
      <w:rFonts w:ascii="Arial" w:eastAsia="Batang" w:hAnsi="Arial" w:cs="Arial"/>
      <w:lang w:val="en-US" w:eastAsia="en-US"/>
    </w:rPr>
  </w:style>
  <w:style w:type="paragraph" w:customStyle="1" w:styleId="1CharCharCharCharCharCharCharCharCharCharCharCharCharCharCharCharCharCharCharChar1">
    <w:name w:val="Знак Знак1 Char Char Знак Знак Char Char Знак Знак Char Char Знак Знак Char Char Char Char Char Знак Знак Char Char Char Char Char Знак Знак Char Char Знак Знак Char Char"/>
    <w:basedOn w:val="Normal"/>
    <w:rsid w:val="001D09F9"/>
    <w:pPr>
      <w:spacing w:after="160" w:line="240" w:lineRule="exact"/>
    </w:pPr>
    <w:rPr>
      <w:rFonts w:ascii="Arial" w:eastAsia="Batang" w:hAnsi="Arial" w:cs="Arial"/>
      <w:lang w:val="en-US" w:eastAsia="en-US"/>
    </w:rPr>
  </w:style>
  <w:style w:type="paragraph" w:customStyle="1" w:styleId="4CharChar">
    <w:name w:val="Знак Знак4 Char Char"/>
    <w:basedOn w:val="Normal"/>
    <w:rsid w:val="0074085F"/>
    <w:pPr>
      <w:spacing w:after="160" w:line="240" w:lineRule="exact"/>
    </w:pPr>
    <w:rPr>
      <w:rFonts w:ascii="Arial" w:eastAsia="Batang" w:hAnsi="Arial" w:cs="Arial"/>
      <w:lang w:val="en-US" w:eastAsia="en-US"/>
    </w:rPr>
  </w:style>
  <w:style w:type="paragraph" w:customStyle="1" w:styleId="CharChar11CharChar1CharCharCharCharCharCharCharCharCharCharCharChar0">
    <w:name w:val="Char Char1 Знак Знак1 Char Char1 Знак Знак Char Char Знак Знак Char Char Знак Знак Char Char Знак Знак Char Char Знак Знак Char Char Знак Знак Char Char Знак Знак Знак Знак"/>
    <w:basedOn w:val="Normal"/>
    <w:rsid w:val="00016B34"/>
    <w:pPr>
      <w:spacing w:after="160" w:line="240" w:lineRule="exact"/>
    </w:pPr>
    <w:rPr>
      <w:rFonts w:ascii="Arial" w:eastAsia="Batang" w:hAnsi="Arial" w:cs="Arial"/>
      <w:lang w:val="en-US" w:eastAsia="en-US"/>
    </w:rPr>
  </w:style>
  <w:style w:type="paragraph" w:customStyle="1" w:styleId="CharChar11CharChar1CharCharCharCharCharCharCharCharCharCharCharCharCharCharCharCharCharChar">
    <w:name w:val="Char Char1 Знак Знак1 Char Char1 Знак Знак Char Char Знак Знак Char Char Знак Знак Char Char Знак Знак Char Char Знак Знак Char Char Знак Знак Char Char Знак Знак Знак Знак Char Char Знак Знак Char Char Знак Знак Char Char"/>
    <w:basedOn w:val="Normal"/>
    <w:rsid w:val="00C138FB"/>
    <w:pPr>
      <w:spacing w:after="160" w:line="240" w:lineRule="exact"/>
    </w:pPr>
    <w:rPr>
      <w:rFonts w:ascii="Arial" w:eastAsia="Batang" w:hAnsi="Arial" w:cs="Arial"/>
      <w:lang w:val="en-US" w:eastAsia="en-US"/>
    </w:rPr>
  </w:style>
  <w:style w:type="character" w:customStyle="1" w:styleId="BodyTextIndent3Char">
    <w:name w:val="Body Text Indent 3 Char"/>
    <w:link w:val="BodyTextIndent3"/>
    <w:rsid w:val="005E2ADA"/>
    <w:rPr>
      <w:sz w:val="26"/>
      <w:szCs w:val="26"/>
      <w:lang w:val="ro-RO"/>
    </w:rPr>
  </w:style>
  <w:style w:type="paragraph" w:customStyle="1" w:styleId="CharChar11CharChar1CharCharCharCharCharCharCharCharCharCharCharChar1">
    <w:name w:val="Char Char1 Знак Знак1 Char Char1 Знак Знак Char Char Знак Знак Char Char Знак Знак Char Char Знак Знак Char Char Знак Знак Char Char Знак Знак Char Char Знак Знак"/>
    <w:basedOn w:val="Normal"/>
    <w:rsid w:val="00D44CB2"/>
    <w:pPr>
      <w:spacing w:after="160" w:line="240" w:lineRule="exact"/>
    </w:pPr>
    <w:rPr>
      <w:rFonts w:ascii="Arial" w:eastAsia="Batang" w:hAnsi="Arial" w:cs="Arial"/>
      <w:lang w:val="en-US" w:eastAsia="en-US"/>
    </w:rPr>
  </w:style>
  <w:style w:type="character" w:customStyle="1" w:styleId="BodyTextIndentChar">
    <w:name w:val="Body Text Indent Char"/>
    <w:link w:val="BodyTextIndent"/>
    <w:rsid w:val="004411EB"/>
    <w:rPr>
      <w:sz w:val="26"/>
      <w:szCs w:val="26"/>
      <w:lang w:val="ro-RO" w:eastAsia="ru-RU"/>
    </w:rPr>
  </w:style>
  <w:style w:type="character" w:customStyle="1" w:styleId="BodyText2Char">
    <w:name w:val="Body Text 2 Char"/>
    <w:link w:val="BodyText2"/>
    <w:rsid w:val="004411EB"/>
    <w:rPr>
      <w:b/>
      <w:bCs/>
      <w:sz w:val="36"/>
      <w:szCs w:val="36"/>
      <w:lang w:val="ro-RO" w:eastAsia="ru-RU"/>
    </w:rPr>
  </w:style>
  <w:style w:type="character" w:customStyle="1" w:styleId="CharChar3">
    <w:name w:val="Char Char3"/>
    <w:locked/>
    <w:rsid w:val="004363AE"/>
    <w:rPr>
      <w:b/>
      <w:bCs/>
      <w:sz w:val="36"/>
      <w:szCs w:val="36"/>
      <w:lang w:val="ro-RO" w:eastAsia="ru-RU" w:bidi="ar-SA"/>
    </w:rPr>
  </w:style>
  <w:style w:type="character" w:customStyle="1" w:styleId="Heading4Char">
    <w:name w:val="Heading 4 Char"/>
    <w:link w:val="Heading4"/>
    <w:rsid w:val="00A43FA3"/>
    <w:rPr>
      <w:b/>
      <w:bCs/>
      <w:sz w:val="26"/>
      <w:szCs w:val="26"/>
      <w:lang w:val="ro-RO"/>
    </w:rPr>
  </w:style>
  <w:style w:type="character" w:customStyle="1" w:styleId="Heading6Char">
    <w:name w:val="Heading 6 Char"/>
    <w:link w:val="Heading6"/>
    <w:rsid w:val="00A43FA3"/>
    <w:rPr>
      <w:b/>
      <w:bCs/>
      <w:lang w:val="ro-RO"/>
    </w:rPr>
  </w:style>
  <w:style w:type="character" w:customStyle="1" w:styleId="Heading8Char">
    <w:name w:val="Heading 8 Char"/>
    <w:link w:val="Heading8"/>
    <w:rsid w:val="00A43FA3"/>
    <w:rPr>
      <w:b/>
      <w:bCs/>
      <w:lang w:val="ro-RO"/>
    </w:rPr>
  </w:style>
  <w:style w:type="character" w:customStyle="1" w:styleId="Heading1Char">
    <w:name w:val="Heading 1 Char"/>
    <w:aliases w:val="FIAS Char"/>
    <w:link w:val="Heading1"/>
    <w:rsid w:val="00833B31"/>
    <w:rPr>
      <w:b/>
      <w:bCs/>
      <w:sz w:val="32"/>
      <w:szCs w:val="32"/>
      <w:lang w:val="ro-RO" w:eastAsia="ru-RU"/>
    </w:rPr>
  </w:style>
  <w:style w:type="character" w:customStyle="1" w:styleId="Heading7Char">
    <w:name w:val="Heading 7 Char"/>
    <w:link w:val="Heading7"/>
    <w:rsid w:val="00E62AAF"/>
    <w:rPr>
      <w:b/>
      <w:bCs/>
      <w:sz w:val="24"/>
      <w:szCs w:val="24"/>
      <w:lang w:val="ro-RO" w:eastAsia="ru-RU"/>
    </w:rPr>
  </w:style>
  <w:style w:type="paragraph" w:customStyle="1" w:styleId="TOCHeading1">
    <w:name w:val="TOC Heading1"/>
    <w:basedOn w:val="Heading1"/>
    <w:next w:val="Normal"/>
    <w:uiPriority w:val="39"/>
    <w:unhideWhenUsed/>
    <w:qFormat/>
    <w:rsid w:val="004D64D5"/>
    <w:pPr>
      <w:keepLines/>
      <w:spacing w:before="240" w:line="259" w:lineRule="auto"/>
      <w:jc w:val="left"/>
      <w:outlineLvl w:val="9"/>
    </w:pPr>
    <w:rPr>
      <w:rFonts w:ascii="Calibri Light" w:hAnsi="Calibri Light"/>
      <w:b w:val="0"/>
      <w:bCs w:val="0"/>
      <w:color w:val="2E74B5"/>
      <w:lang w:val="en-US" w:eastAsia="en-US"/>
    </w:rPr>
  </w:style>
  <w:style w:type="paragraph" w:styleId="TOC3">
    <w:name w:val="toc 3"/>
    <w:basedOn w:val="Normal"/>
    <w:next w:val="Normal"/>
    <w:autoRedefine/>
    <w:uiPriority w:val="39"/>
    <w:rsid w:val="004D64D5"/>
    <w:pPr>
      <w:ind w:left="400"/>
    </w:pPr>
  </w:style>
  <w:style w:type="paragraph" w:styleId="TOC1">
    <w:name w:val="toc 1"/>
    <w:basedOn w:val="Normal"/>
    <w:next w:val="Normal"/>
    <w:autoRedefine/>
    <w:uiPriority w:val="39"/>
    <w:rsid w:val="004D64D5"/>
  </w:style>
  <w:style w:type="character" w:styleId="Hyperlink">
    <w:name w:val="Hyperlink"/>
    <w:uiPriority w:val="99"/>
    <w:unhideWhenUsed/>
    <w:rsid w:val="004D64D5"/>
    <w:rPr>
      <w:color w:val="0563C1"/>
      <w:u w:val="single"/>
    </w:rPr>
  </w:style>
  <w:style w:type="paragraph" w:customStyle="1" w:styleId="1CharCharCharCharCharCharCharCharCharCharCharCharCharCharCharChar00">
    <w:name w:val="Знак1 Char Char Знак Char Char Знак Char Char Знак Char Char Знак Знак Знак Знак Char Char Знак Char Char Знак Char Char Знак Знак Char Char Знак Знак0"/>
    <w:basedOn w:val="Normal"/>
    <w:rsid w:val="00E76D5F"/>
    <w:pPr>
      <w:spacing w:after="160" w:line="240" w:lineRule="exact"/>
    </w:pPr>
    <w:rPr>
      <w:rFonts w:ascii="Arial" w:eastAsia="Batang" w:hAnsi="Arial" w:cs="Arial"/>
      <w:lang w:val="en-US" w:eastAsia="en-US"/>
    </w:rPr>
  </w:style>
  <w:style w:type="character" w:customStyle="1" w:styleId="Heading3Char">
    <w:name w:val="Heading 3 Char"/>
    <w:link w:val="Heading3"/>
    <w:rsid w:val="00351440"/>
    <w:rPr>
      <w:b/>
      <w:bCs/>
      <w:sz w:val="28"/>
      <w:szCs w:val="28"/>
      <w:lang w:eastAsia="ru-RU"/>
    </w:rPr>
  </w:style>
  <w:style w:type="character" w:customStyle="1" w:styleId="Heading9Char">
    <w:name w:val="Heading 9 Char"/>
    <w:link w:val="Heading9"/>
    <w:rsid w:val="00351440"/>
    <w:rPr>
      <w:b/>
      <w:bCs/>
      <w:sz w:val="24"/>
      <w:szCs w:val="24"/>
      <w:lang w:eastAsia="ru-RU"/>
    </w:rPr>
  </w:style>
  <w:style w:type="character" w:customStyle="1" w:styleId="BodyTextIndent2Char">
    <w:name w:val="Body Text Indent 2 Char"/>
    <w:link w:val="BodyTextIndent2"/>
    <w:rsid w:val="00351440"/>
    <w:rPr>
      <w:sz w:val="26"/>
      <w:szCs w:val="26"/>
      <w:lang w:eastAsia="ru-RU"/>
    </w:rPr>
  </w:style>
  <w:style w:type="character" w:customStyle="1" w:styleId="BalloonTextChar">
    <w:name w:val="Balloon Text Char"/>
    <w:link w:val="BalloonText"/>
    <w:uiPriority w:val="99"/>
    <w:semiHidden/>
    <w:rsid w:val="00C7614B"/>
    <w:rPr>
      <w:rFonts w:ascii="Tahoma" w:hAnsi="Tahoma" w:cs="Tahoma"/>
      <w:sz w:val="16"/>
      <w:szCs w:val="16"/>
      <w:lang w:eastAsia="ru-RU"/>
    </w:rPr>
  </w:style>
  <w:style w:type="paragraph" w:customStyle="1" w:styleId="ParagraphNumbering">
    <w:name w:val="Paragraph Numbering"/>
    <w:basedOn w:val="Normal"/>
    <w:link w:val="ParagraphNumberingChar"/>
    <w:qFormat/>
    <w:rsid w:val="003678A3"/>
    <w:pPr>
      <w:numPr>
        <w:numId w:val="2"/>
      </w:numPr>
      <w:spacing w:after="240" w:line="264" w:lineRule="auto"/>
    </w:pPr>
    <w:rPr>
      <w:sz w:val="24"/>
      <w:szCs w:val="24"/>
      <w:lang w:val="x-none" w:eastAsia="zh-CN"/>
    </w:rPr>
  </w:style>
  <w:style w:type="character" w:customStyle="1" w:styleId="ParagraphNumberingChar">
    <w:name w:val="Paragraph Numbering Char"/>
    <w:link w:val="ParagraphNumbering"/>
    <w:rsid w:val="003678A3"/>
    <w:rPr>
      <w:sz w:val="24"/>
      <w:szCs w:val="24"/>
      <w:lang w:val="x-none" w:eastAsia="zh-CN"/>
    </w:rPr>
  </w:style>
  <w:style w:type="table" w:styleId="TableWeb3">
    <w:name w:val="Table Web 3"/>
    <w:basedOn w:val="TableNormal"/>
    <w:rsid w:val="00DD6D5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C97D54"/>
    <w:pPr>
      <w:ind w:left="720"/>
      <w:contextualSpacing/>
    </w:pPr>
  </w:style>
  <w:style w:type="numbering" w:customStyle="1" w:styleId="NoList1">
    <w:name w:val="No List1"/>
    <w:next w:val="NoList"/>
    <w:uiPriority w:val="99"/>
    <w:semiHidden/>
    <w:unhideWhenUsed/>
    <w:rsid w:val="00DD1443"/>
  </w:style>
  <w:style w:type="numbering" w:customStyle="1" w:styleId="NoList2">
    <w:name w:val="No List2"/>
    <w:next w:val="NoList"/>
    <w:uiPriority w:val="99"/>
    <w:semiHidden/>
    <w:unhideWhenUsed/>
    <w:rsid w:val="0026399A"/>
  </w:style>
  <w:style w:type="character" w:styleId="FootnoteReference">
    <w:name w:val="footnote reference"/>
    <w:uiPriority w:val="99"/>
    <w:rsid w:val="00163146"/>
    <w:rPr>
      <w:vertAlign w:val="superscript"/>
    </w:rPr>
  </w:style>
  <w:style w:type="character" w:styleId="CommentReference">
    <w:name w:val="annotation reference"/>
    <w:basedOn w:val="DefaultParagraphFont"/>
    <w:semiHidden/>
    <w:unhideWhenUsed/>
    <w:rsid w:val="003A7F49"/>
    <w:rPr>
      <w:sz w:val="16"/>
      <w:szCs w:val="16"/>
    </w:rPr>
  </w:style>
  <w:style w:type="paragraph" w:styleId="CommentText">
    <w:name w:val="annotation text"/>
    <w:basedOn w:val="Normal"/>
    <w:link w:val="CommentTextChar"/>
    <w:semiHidden/>
    <w:unhideWhenUsed/>
    <w:rsid w:val="003A7F49"/>
  </w:style>
  <w:style w:type="character" w:customStyle="1" w:styleId="CommentTextChar">
    <w:name w:val="Comment Text Char"/>
    <w:basedOn w:val="DefaultParagraphFont"/>
    <w:link w:val="CommentText"/>
    <w:semiHidden/>
    <w:rsid w:val="003A7F49"/>
    <w:rPr>
      <w:lang w:val="ro-RO" w:eastAsia="ru-RU"/>
    </w:rPr>
  </w:style>
  <w:style w:type="paragraph" w:styleId="CommentSubject">
    <w:name w:val="annotation subject"/>
    <w:basedOn w:val="CommentText"/>
    <w:next w:val="CommentText"/>
    <w:link w:val="CommentSubjectChar"/>
    <w:semiHidden/>
    <w:unhideWhenUsed/>
    <w:rsid w:val="003A7F49"/>
    <w:rPr>
      <w:b/>
      <w:bCs/>
    </w:rPr>
  </w:style>
  <w:style w:type="character" w:customStyle="1" w:styleId="CommentSubjectChar">
    <w:name w:val="Comment Subject Char"/>
    <w:basedOn w:val="CommentTextChar"/>
    <w:link w:val="CommentSubject"/>
    <w:semiHidden/>
    <w:rsid w:val="003A7F49"/>
    <w:rPr>
      <w:b/>
      <w:bCs/>
      <w:lang w:val="ro-RO" w:eastAsia="ru-RU"/>
    </w:rPr>
  </w:style>
  <w:style w:type="numbering" w:customStyle="1" w:styleId="NoList3">
    <w:name w:val="No List3"/>
    <w:next w:val="NoList"/>
    <w:uiPriority w:val="99"/>
    <w:semiHidden/>
    <w:unhideWhenUsed/>
    <w:rsid w:val="00EB134B"/>
  </w:style>
  <w:style w:type="character" w:customStyle="1" w:styleId="HeaderChar">
    <w:name w:val="Header Char"/>
    <w:basedOn w:val="DefaultParagraphFont"/>
    <w:link w:val="Header"/>
    <w:uiPriority w:val="99"/>
    <w:rsid w:val="00EB134B"/>
    <w:rPr>
      <w:lang w:val="ro-RO" w:eastAsia="ru-RU"/>
    </w:rPr>
  </w:style>
  <w:style w:type="character" w:customStyle="1" w:styleId="FooterChar">
    <w:name w:val="Footer Char"/>
    <w:basedOn w:val="DefaultParagraphFont"/>
    <w:link w:val="Footer"/>
    <w:uiPriority w:val="99"/>
    <w:rsid w:val="00EB134B"/>
    <w:rPr>
      <w:lang w:val="ro-RO" w:eastAsia="ru-RU"/>
    </w:rPr>
  </w:style>
  <w:style w:type="paragraph" w:styleId="Revision">
    <w:name w:val="Revision"/>
    <w:hidden/>
    <w:uiPriority w:val="99"/>
    <w:semiHidden/>
    <w:rsid w:val="00EB134B"/>
    <w:rPr>
      <w:lang w:val="ro-RO" w:eastAsia="ru-RU"/>
    </w:rPr>
  </w:style>
  <w:style w:type="table" w:customStyle="1" w:styleId="TableGrid1">
    <w:name w:val="Table Grid1"/>
    <w:basedOn w:val="TableNormal"/>
    <w:next w:val="TableGrid"/>
    <w:uiPriority w:val="39"/>
    <w:rsid w:val="00EB13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D159E"/>
  </w:style>
  <w:style w:type="character" w:customStyle="1" w:styleId="FootnoteTextChar">
    <w:name w:val="Footnote Text Char"/>
    <w:basedOn w:val="DefaultParagraphFont"/>
    <w:link w:val="FootnoteText"/>
    <w:uiPriority w:val="99"/>
    <w:semiHidden/>
    <w:rsid w:val="001D159E"/>
    <w:rPr>
      <w:lang w:val="ro-RO" w:eastAsia="ru-RU"/>
    </w:rPr>
  </w:style>
  <w:style w:type="table" w:customStyle="1" w:styleId="TableGrid2">
    <w:name w:val="Table Grid2"/>
    <w:basedOn w:val="TableNormal"/>
    <w:next w:val="TableGrid"/>
    <w:uiPriority w:val="39"/>
    <w:rsid w:val="00FC1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45B2A"/>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
    <w:name w:val="Table Grid3"/>
    <w:basedOn w:val="TableNormal"/>
    <w:next w:val="TableGrid"/>
    <w:uiPriority w:val="39"/>
    <w:rsid w:val="00E45B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17A8B"/>
  </w:style>
  <w:style w:type="table" w:customStyle="1" w:styleId="TableGrid4">
    <w:name w:val="Table Grid4"/>
    <w:basedOn w:val="TableNormal"/>
    <w:next w:val="TableGrid"/>
    <w:uiPriority w:val="39"/>
    <w:rsid w:val="00017A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71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0710BD"/>
    <w:rPr>
      <w:rFonts w:asciiTheme="minorHAnsi" w:eastAsiaTheme="minorHAnsi" w:hAnsiTheme="minorHAnsi" w:cstheme="minorBidi"/>
      <w:sz w:val="22"/>
      <w:szCs w:val="22"/>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50">
    <w:name w:val="Table Grid5"/>
    <w:basedOn w:val="TableNormal"/>
    <w:next w:val="TableGrid"/>
    <w:uiPriority w:val="39"/>
    <w:rsid w:val="00657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571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697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0">
    <w:name w:val="Grid Table 1 Light - Accent 510"/>
    <w:basedOn w:val="TableNormal"/>
    <w:next w:val="GridTable1Light-Accent51"/>
    <w:uiPriority w:val="46"/>
    <w:rsid w:val="006973BA"/>
    <w:rPr>
      <w:rFonts w:asciiTheme="minorHAnsi" w:eastAsiaTheme="minorHAnsi" w:hAnsiTheme="minorHAnsi" w:cstheme="minorBidi"/>
      <w:sz w:val="22"/>
      <w:szCs w:val="22"/>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Light10">
    <w:name w:val="Table Grid Light10"/>
    <w:basedOn w:val="TableNormal"/>
    <w:next w:val="TableGridLight1"/>
    <w:uiPriority w:val="40"/>
    <w:rsid w:val="0020717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1"/>
    <w:uiPriority w:val="40"/>
    <w:rsid w:val="004977B2"/>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6">
    <w:name w:val="Table Grid6"/>
    <w:basedOn w:val="TableNormal"/>
    <w:next w:val="TableGrid"/>
    <w:uiPriority w:val="39"/>
    <w:rsid w:val="004977B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00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
    <w:name w:val="Grid Table 1 Light - Accent 511"/>
    <w:basedOn w:val="TableNormal"/>
    <w:next w:val="GridTable1Light-Accent51"/>
    <w:uiPriority w:val="46"/>
    <w:rsid w:val="009004AC"/>
    <w:rPr>
      <w:rFonts w:asciiTheme="minorHAnsi" w:eastAsiaTheme="minorHAnsi" w:hAnsiTheme="minorHAnsi" w:cstheme="minorBidi"/>
      <w:sz w:val="22"/>
      <w:szCs w:val="22"/>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5111">
    <w:name w:val="Grid Table 1 Light - Accent 5111"/>
    <w:basedOn w:val="TableNormal"/>
    <w:uiPriority w:val="46"/>
    <w:rsid w:val="0090239F"/>
    <w:rPr>
      <w:rFonts w:ascii="Calibri" w:eastAsia="Calibri" w:hAnsi="Calibri"/>
      <w:sz w:val="22"/>
      <w:szCs w:val="22"/>
    </w:rPr>
    <w:tblPr>
      <w:tblStyleRowBandSize w:val="1"/>
      <w:tblStyleColBandSize w:val="1"/>
      <w:tblInd w:w="0" w:type="nil"/>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51">
    <w:name w:val="Table Grid51"/>
    <w:basedOn w:val="TableNormal"/>
    <w:next w:val="TableGrid"/>
    <w:uiPriority w:val="39"/>
    <w:rsid w:val="00AA0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AA0A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39"/>
    <w:rsid w:val="00034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1">
    <w:name w:val="Grid Table 1 Light - Accent 51111"/>
    <w:basedOn w:val="TableNormal"/>
    <w:uiPriority w:val="46"/>
    <w:rsid w:val="000348C7"/>
    <w:rPr>
      <w:rFonts w:ascii="Calibri" w:eastAsia="Calibri" w:hAnsi="Calibri"/>
      <w:sz w:val="22"/>
      <w:szCs w:val="22"/>
    </w:rPr>
    <w:tblPr>
      <w:tblStyleRowBandSize w:val="1"/>
      <w:tblStyleColBandSize w:val="1"/>
      <w:tblInd w:w="0" w:type="nil"/>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511">
    <w:name w:val="Table Grid511"/>
    <w:basedOn w:val="TableNormal"/>
    <w:next w:val="TableGrid"/>
    <w:uiPriority w:val="39"/>
    <w:rsid w:val="00D52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D528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5">
    <w:name w:val="List Table 2 Accent 5"/>
    <w:basedOn w:val="TableNormal"/>
    <w:uiPriority w:val="47"/>
    <w:rsid w:val="00B56847"/>
    <w:rPr>
      <w:rFonts w:asciiTheme="minorHAnsi" w:eastAsiaTheme="minorHAnsi" w:hAnsiTheme="minorHAnsi" w:cstheme="minorBidi"/>
      <w:sz w:val="22"/>
      <w:szCs w:val="22"/>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Light">
    <w:name w:val="Grid Table Light"/>
    <w:basedOn w:val="TableNormal"/>
    <w:uiPriority w:val="40"/>
    <w:rsid w:val="000B28DF"/>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2-Accent51">
    <w:name w:val="List Table 2 - Accent 51"/>
    <w:basedOn w:val="TableNormal"/>
    <w:next w:val="ListTable2-Accent5"/>
    <w:uiPriority w:val="47"/>
    <w:rsid w:val="00311682"/>
    <w:rPr>
      <w:rFonts w:asciiTheme="minorHAnsi" w:eastAsiaTheme="minorHAnsi" w:hAnsiTheme="minorHAnsi" w:cstheme="minorBidi"/>
      <w:sz w:val="22"/>
      <w:szCs w:val="22"/>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numbering" w:customStyle="1" w:styleId="NoList5">
    <w:name w:val="No List5"/>
    <w:next w:val="NoList"/>
    <w:uiPriority w:val="99"/>
    <w:semiHidden/>
    <w:unhideWhenUsed/>
    <w:rsid w:val="00310DE6"/>
  </w:style>
  <w:style w:type="character" w:customStyle="1" w:styleId="Heading5Char">
    <w:name w:val="Heading 5 Char"/>
    <w:basedOn w:val="DefaultParagraphFont"/>
    <w:link w:val="Heading5"/>
    <w:rsid w:val="00310DE6"/>
    <w:rPr>
      <w:b/>
      <w:bCs/>
      <w:sz w:val="22"/>
      <w:szCs w:val="22"/>
      <w:lang w:val="ro-RO" w:eastAsia="ru-RU"/>
    </w:rPr>
  </w:style>
  <w:style w:type="numbering" w:customStyle="1" w:styleId="NoList11">
    <w:name w:val="No List11"/>
    <w:next w:val="NoList"/>
    <w:uiPriority w:val="99"/>
    <w:semiHidden/>
    <w:unhideWhenUsed/>
    <w:rsid w:val="00310DE6"/>
  </w:style>
  <w:style w:type="character" w:customStyle="1" w:styleId="TitleChar">
    <w:name w:val="Title Char"/>
    <w:basedOn w:val="DefaultParagraphFont"/>
    <w:link w:val="Title"/>
    <w:rsid w:val="00310DE6"/>
    <w:rPr>
      <w:b/>
      <w:sz w:val="28"/>
      <w:lang w:val="ro-RO" w:eastAsia="ru-RU"/>
    </w:rPr>
  </w:style>
  <w:style w:type="table" w:customStyle="1" w:styleId="TableElegant1">
    <w:name w:val="Table Elegant1"/>
    <w:basedOn w:val="TableNormal"/>
    <w:next w:val="TableElegant"/>
    <w:rsid w:val="00310DE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7">
    <w:name w:val="Table Grid7"/>
    <w:basedOn w:val="TableNormal"/>
    <w:next w:val="TableGrid"/>
    <w:uiPriority w:val="39"/>
    <w:rsid w:val="00310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 51"/>
    <w:basedOn w:val="TableNormal"/>
    <w:next w:val="TableGrid5"/>
    <w:rsid w:val="00310DE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Web31">
    <w:name w:val="Table Web 31"/>
    <w:basedOn w:val="TableNormal"/>
    <w:next w:val="TableWeb3"/>
    <w:rsid w:val="00310DE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11">
    <w:name w:val="No List111"/>
    <w:next w:val="NoList"/>
    <w:uiPriority w:val="99"/>
    <w:semiHidden/>
    <w:unhideWhenUsed/>
    <w:rsid w:val="00310DE6"/>
  </w:style>
  <w:style w:type="numbering" w:customStyle="1" w:styleId="NoList21">
    <w:name w:val="No List21"/>
    <w:next w:val="NoList"/>
    <w:uiPriority w:val="99"/>
    <w:semiHidden/>
    <w:unhideWhenUsed/>
    <w:rsid w:val="00310DE6"/>
  </w:style>
  <w:style w:type="numbering" w:customStyle="1" w:styleId="NoList31">
    <w:name w:val="No List31"/>
    <w:next w:val="NoList"/>
    <w:uiPriority w:val="99"/>
    <w:semiHidden/>
    <w:unhideWhenUsed/>
    <w:rsid w:val="00310DE6"/>
  </w:style>
  <w:style w:type="table" w:customStyle="1" w:styleId="TableGrid11">
    <w:name w:val="Table Grid11"/>
    <w:basedOn w:val="TableNormal"/>
    <w:next w:val="TableGrid"/>
    <w:uiPriority w:val="39"/>
    <w:rsid w:val="00310DE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310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310DE6"/>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
    <w:name w:val="Table Grid31"/>
    <w:basedOn w:val="TableNormal"/>
    <w:next w:val="TableGrid"/>
    <w:uiPriority w:val="39"/>
    <w:rsid w:val="00310DE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10DE6"/>
  </w:style>
  <w:style w:type="table" w:customStyle="1" w:styleId="TableGrid42">
    <w:name w:val="Table Grid42"/>
    <w:basedOn w:val="TableNormal"/>
    <w:next w:val="TableGrid"/>
    <w:uiPriority w:val="39"/>
    <w:rsid w:val="00310DE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310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2">
    <w:name w:val="Grid Table 1 Light - Accent 512"/>
    <w:basedOn w:val="TableNormal"/>
    <w:uiPriority w:val="46"/>
    <w:rsid w:val="00310DE6"/>
    <w:rPr>
      <w:rFonts w:asciiTheme="minorHAnsi" w:eastAsiaTheme="minorHAnsi" w:hAnsiTheme="minorHAnsi" w:cstheme="minorBidi"/>
      <w:sz w:val="22"/>
      <w:szCs w:val="22"/>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52">
    <w:name w:val="Table Grid52"/>
    <w:basedOn w:val="TableNormal"/>
    <w:next w:val="TableGrid"/>
    <w:uiPriority w:val="39"/>
    <w:rsid w:val="00310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310DE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310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01">
    <w:name w:val="Grid Table 1 Light - Accent 5101"/>
    <w:basedOn w:val="TableNormal"/>
    <w:next w:val="GridTable1Light-Accent51"/>
    <w:uiPriority w:val="46"/>
    <w:rsid w:val="00310DE6"/>
    <w:rPr>
      <w:rFonts w:asciiTheme="minorHAnsi" w:eastAsiaTheme="minorHAnsi" w:hAnsiTheme="minorHAnsi" w:cstheme="minorBidi"/>
      <w:sz w:val="22"/>
      <w:szCs w:val="22"/>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Light101">
    <w:name w:val="Table Grid Light101"/>
    <w:basedOn w:val="TableNormal"/>
    <w:next w:val="TableGridLight1"/>
    <w:uiPriority w:val="40"/>
    <w:rsid w:val="00310DE6"/>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1">
    <w:name w:val="Table Grid Light21"/>
    <w:basedOn w:val="TableNormal"/>
    <w:next w:val="TableGridLight1"/>
    <w:uiPriority w:val="40"/>
    <w:rsid w:val="00310DE6"/>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61">
    <w:name w:val="Table Grid61"/>
    <w:basedOn w:val="TableNormal"/>
    <w:next w:val="TableGrid"/>
    <w:uiPriority w:val="39"/>
    <w:rsid w:val="00310DE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uiPriority w:val="39"/>
    <w:rsid w:val="00310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next w:val="GridTable1Light-Accent51"/>
    <w:uiPriority w:val="46"/>
    <w:rsid w:val="00310DE6"/>
    <w:rPr>
      <w:rFonts w:asciiTheme="minorHAnsi" w:eastAsiaTheme="minorHAnsi" w:hAnsiTheme="minorHAnsi" w:cstheme="minorBidi"/>
      <w:sz w:val="22"/>
      <w:szCs w:val="22"/>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51112">
    <w:name w:val="Grid Table 1 Light - Accent 51112"/>
    <w:basedOn w:val="TableNormal"/>
    <w:uiPriority w:val="46"/>
    <w:rsid w:val="00310DE6"/>
    <w:rPr>
      <w:rFonts w:ascii="Calibri" w:eastAsia="Calibri" w:hAnsi="Calibri"/>
      <w:sz w:val="22"/>
      <w:szCs w:val="22"/>
    </w:rPr>
    <w:tblPr>
      <w:tblStyleRowBandSize w:val="1"/>
      <w:tblStyleColBandSize w:val="1"/>
      <w:tblInd w:w="0" w:type="nil"/>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512">
    <w:name w:val="Table Grid512"/>
    <w:basedOn w:val="TableNormal"/>
    <w:next w:val="TableGrid"/>
    <w:uiPriority w:val="39"/>
    <w:rsid w:val="00310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39"/>
    <w:rsid w:val="00310DE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uiPriority w:val="39"/>
    <w:rsid w:val="00310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11">
    <w:name w:val="Grid Table 1 Light - Accent 511111"/>
    <w:basedOn w:val="TableNormal"/>
    <w:uiPriority w:val="46"/>
    <w:rsid w:val="00310DE6"/>
    <w:rPr>
      <w:rFonts w:ascii="Calibri" w:eastAsia="Calibri" w:hAnsi="Calibri"/>
      <w:sz w:val="22"/>
      <w:szCs w:val="22"/>
    </w:rPr>
    <w:tblPr>
      <w:tblStyleRowBandSize w:val="1"/>
      <w:tblStyleColBandSize w:val="1"/>
      <w:tblInd w:w="0" w:type="nil"/>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5111">
    <w:name w:val="Table Grid5111"/>
    <w:basedOn w:val="TableNormal"/>
    <w:next w:val="TableGrid"/>
    <w:uiPriority w:val="39"/>
    <w:rsid w:val="00310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uiPriority w:val="39"/>
    <w:rsid w:val="00310DE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52">
    <w:name w:val="List Table 2 - Accent 52"/>
    <w:basedOn w:val="TableNormal"/>
    <w:next w:val="ListTable2-Accent5"/>
    <w:uiPriority w:val="47"/>
    <w:rsid w:val="00310DE6"/>
    <w:rPr>
      <w:rFonts w:asciiTheme="minorHAnsi" w:eastAsiaTheme="minorHAnsi" w:hAnsiTheme="minorHAnsi" w:cstheme="minorBidi"/>
      <w:sz w:val="22"/>
      <w:szCs w:val="22"/>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Light3">
    <w:name w:val="Table Grid Light3"/>
    <w:basedOn w:val="TableNormal"/>
    <w:next w:val="TableGridLight"/>
    <w:uiPriority w:val="40"/>
    <w:rsid w:val="00310DE6"/>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51">
    <w:name w:val="No List51"/>
    <w:next w:val="NoList"/>
    <w:uiPriority w:val="99"/>
    <w:semiHidden/>
    <w:unhideWhenUsed/>
    <w:rsid w:val="00310DE6"/>
  </w:style>
  <w:style w:type="numbering" w:customStyle="1" w:styleId="NoList12">
    <w:name w:val="No List12"/>
    <w:next w:val="NoList"/>
    <w:uiPriority w:val="99"/>
    <w:semiHidden/>
    <w:unhideWhenUsed/>
    <w:rsid w:val="00310DE6"/>
  </w:style>
  <w:style w:type="numbering" w:customStyle="1" w:styleId="NoList211">
    <w:name w:val="No List211"/>
    <w:next w:val="NoList"/>
    <w:uiPriority w:val="99"/>
    <w:semiHidden/>
    <w:unhideWhenUsed/>
    <w:rsid w:val="00310DE6"/>
  </w:style>
  <w:style w:type="numbering" w:customStyle="1" w:styleId="NoList311">
    <w:name w:val="No List311"/>
    <w:next w:val="NoList"/>
    <w:uiPriority w:val="99"/>
    <w:semiHidden/>
    <w:unhideWhenUsed/>
    <w:rsid w:val="00310DE6"/>
  </w:style>
  <w:style w:type="numbering" w:customStyle="1" w:styleId="NoList411">
    <w:name w:val="No List411"/>
    <w:next w:val="NoList"/>
    <w:uiPriority w:val="99"/>
    <w:semiHidden/>
    <w:unhideWhenUsed/>
    <w:rsid w:val="00310DE6"/>
  </w:style>
  <w:style w:type="table" w:customStyle="1" w:styleId="ListTable2-Accent511">
    <w:name w:val="List Table 2 - Accent 511"/>
    <w:basedOn w:val="TableNormal"/>
    <w:next w:val="ListTable2-Accent5"/>
    <w:uiPriority w:val="47"/>
    <w:rsid w:val="00310DE6"/>
    <w:rPr>
      <w:rFonts w:asciiTheme="minorHAnsi" w:eastAsiaTheme="minorHAnsi" w:hAnsiTheme="minorHAnsi" w:cstheme="minorBidi"/>
      <w:sz w:val="22"/>
      <w:szCs w:val="22"/>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512">
    <w:name w:val="List Table 2 - Accent 512"/>
    <w:basedOn w:val="TableNormal"/>
    <w:next w:val="ListTable2-Accent5"/>
    <w:uiPriority w:val="47"/>
    <w:rsid w:val="00433308"/>
    <w:rPr>
      <w:rFonts w:asciiTheme="minorHAnsi" w:eastAsiaTheme="minorHAnsi" w:hAnsiTheme="minorHAnsi" w:cstheme="minorBidi"/>
      <w:sz w:val="22"/>
      <w:szCs w:val="22"/>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1Light-Accent511112">
    <w:name w:val="Grid Table 1 Light - Accent 511112"/>
    <w:basedOn w:val="TableNormal"/>
    <w:uiPriority w:val="46"/>
    <w:rsid w:val="00147036"/>
    <w:rPr>
      <w:rFonts w:ascii="Calibri" w:eastAsia="Calibri" w:hAnsi="Calibri"/>
      <w:sz w:val="22"/>
      <w:szCs w:val="22"/>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0093">
      <w:bodyDiv w:val="1"/>
      <w:marLeft w:val="0"/>
      <w:marRight w:val="0"/>
      <w:marTop w:val="0"/>
      <w:marBottom w:val="0"/>
      <w:divBdr>
        <w:top w:val="none" w:sz="0" w:space="0" w:color="auto"/>
        <w:left w:val="none" w:sz="0" w:space="0" w:color="auto"/>
        <w:bottom w:val="none" w:sz="0" w:space="0" w:color="auto"/>
        <w:right w:val="none" w:sz="0" w:space="0" w:color="auto"/>
      </w:divBdr>
    </w:div>
    <w:div w:id="31198896">
      <w:bodyDiv w:val="1"/>
      <w:marLeft w:val="0"/>
      <w:marRight w:val="0"/>
      <w:marTop w:val="0"/>
      <w:marBottom w:val="0"/>
      <w:divBdr>
        <w:top w:val="none" w:sz="0" w:space="0" w:color="auto"/>
        <w:left w:val="none" w:sz="0" w:space="0" w:color="auto"/>
        <w:bottom w:val="none" w:sz="0" w:space="0" w:color="auto"/>
        <w:right w:val="none" w:sz="0" w:space="0" w:color="auto"/>
      </w:divBdr>
    </w:div>
    <w:div w:id="46686061">
      <w:bodyDiv w:val="1"/>
      <w:marLeft w:val="0"/>
      <w:marRight w:val="0"/>
      <w:marTop w:val="0"/>
      <w:marBottom w:val="0"/>
      <w:divBdr>
        <w:top w:val="none" w:sz="0" w:space="0" w:color="auto"/>
        <w:left w:val="none" w:sz="0" w:space="0" w:color="auto"/>
        <w:bottom w:val="none" w:sz="0" w:space="0" w:color="auto"/>
        <w:right w:val="none" w:sz="0" w:space="0" w:color="auto"/>
      </w:divBdr>
    </w:div>
    <w:div w:id="50231316">
      <w:bodyDiv w:val="1"/>
      <w:marLeft w:val="0"/>
      <w:marRight w:val="0"/>
      <w:marTop w:val="0"/>
      <w:marBottom w:val="0"/>
      <w:divBdr>
        <w:top w:val="none" w:sz="0" w:space="0" w:color="auto"/>
        <w:left w:val="none" w:sz="0" w:space="0" w:color="auto"/>
        <w:bottom w:val="none" w:sz="0" w:space="0" w:color="auto"/>
        <w:right w:val="none" w:sz="0" w:space="0" w:color="auto"/>
      </w:divBdr>
    </w:div>
    <w:div w:id="54159947">
      <w:bodyDiv w:val="1"/>
      <w:marLeft w:val="0"/>
      <w:marRight w:val="0"/>
      <w:marTop w:val="0"/>
      <w:marBottom w:val="0"/>
      <w:divBdr>
        <w:top w:val="none" w:sz="0" w:space="0" w:color="auto"/>
        <w:left w:val="none" w:sz="0" w:space="0" w:color="auto"/>
        <w:bottom w:val="none" w:sz="0" w:space="0" w:color="auto"/>
        <w:right w:val="none" w:sz="0" w:space="0" w:color="auto"/>
      </w:divBdr>
    </w:div>
    <w:div w:id="57022522">
      <w:bodyDiv w:val="1"/>
      <w:marLeft w:val="0"/>
      <w:marRight w:val="0"/>
      <w:marTop w:val="0"/>
      <w:marBottom w:val="0"/>
      <w:divBdr>
        <w:top w:val="none" w:sz="0" w:space="0" w:color="auto"/>
        <w:left w:val="none" w:sz="0" w:space="0" w:color="auto"/>
        <w:bottom w:val="none" w:sz="0" w:space="0" w:color="auto"/>
        <w:right w:val="none" w:sz="0" w:space="0" w:color="auto"/>
      </w:divBdr>
    </w:div>
    <w:div w:id="71659317">
      <w:bodyDiv w:val="1"/>
      <w:marLeft w:val="0"/>
      <w:marRight w:val="0"/>
      <w:marTop w:val="0"/>
      <w:marBottom w:val="0"/>
      <w:divBdr>
        <w:top w:val="none" w:sz="0" w:space="0" w:color="auto"/>
        <w:left w:val="none" w:sz="0" w:space="0" w:color="auto"/>
        <w:bottom w:val="none" w:sz="0" w:space="0" w:color="auto"/>
        <w:right w:val="none" w:sz="0" w:space="0" w:color="auto"/>
      </w:divBdr>
    </w:div>
    <w:div w:id="72167836">
      <w:bodyDiv w:val="1"/>
      <w:marLeft w:val="0"/>
      <w:marRight w:val="0"/>
      <w:marTop w:val="0"/>
      <w:marBottom w:val="0"/>
      <w:divBdr>
        <w:top w:val="none" w:sz="0" w:space="0" w:color="auto"/>
        <w:left w:val="none" w:sz="0" w:space="0" w:color="auto"/>
        <w:bottom w:val="none" w:sz="0" w:space="0" w:color="auto"/>
        <w:right w:val="none" w:sz="0" w:space="0" w:color="auto"/>
      </w:divBdr>
    </w:div>
    <w:div w:id="91754315">
      <w:bodyDiv w:val="1"/>
      <w:marLeft w:val="0"/>
      <w:marRight w:val="0"/>
      <w:marTop w:val="0"/>
      <w:marBottom w:val="0"/>
      <w:divBdr>
        <w:top w:val="none" w:sz="0" w:space="0" w:color="auto"/>
        <w:left w:val="none" w:sz="0" w:space="0" w:color="auto"/>
        <w:bottom w:val="none" w:sz="0" w:space="0" w:color="auto"/>
        <w:right w:val="none" w:sz="0" w:space="0" w:color="auto"/>
      </w:divBdr>
    </w:div>
    <w:div w:id="92941567">
      <w:bodyDiv w:val="1"/>
      <w:marLeft w:val="0"/>
      <w:marRight w:val="0"/>
      <w:marTop w:val="0"/>
      <w:marBottom w:val="0"/>
      <w:divBdr>
        <w:top w:val="none" w:sz="0" w:space="0" w:color="auto"/>
        <w:left w:val="none" w:sz="0" w:space="0" w:color="auto"/>
        <w:bottom w:val="none" w:sz="0" w:space="0" w:color="auto"/>
        <w:right w:val="none" w:sz="0" w:space="0" w:color="auto"/>
      </w:divBdr>
    </w:div>
    <w:div w:id="94139085">
      <w:bodyDiv w:val="1"/>
      <w:marLeft w:val="0"/>
      <w:marRight w:val="0"/>
      <w:marTop w:val="0"/>
      <w:marBottom w:val="0"/>
      <w:divBdr>
        <w:top w:val="none" w:sz="0" w:space="0" w:color="auto"/>
        <w:left w:val="none" w:sz="0" w:space="0" w:color="auto"/>
        <w:bottom w:val="none" w:sz="0" w:space="0" w:color="auto"/>
        <w:right w:val="none" w:sz="0" w:space="0" w:color="auto"/>
      </w:divBdr>
    </w:div>
    <w:div w:id="98526299">
      <w:bodyDiv w:val="1"/>
      <w:marLeft w:val="0"/>
      <w:marRight w:val="0"/>
      <w:marTop w:val="0"/>
      <w:marBottom w:val="0"/>
      <w:divBdr>
        <w:top w:val="none" w:sz="0" w:space="0" w:color="auto"/>
        <w:left w:val="none" w:sz="0" w:space="0" w:color="auto"/>
        <w:bottom w:val="none" w:sz="0" w:space="0" w:color="auto"/>
        <w:right w:val="none" w:sz="0" w:space="0" w:color="auto"/>
      </w:divBdr>
    </w:div>
    <w:div w:id="116414985">
      <w:bodyDiv w:val="1"/>
      <w:marLeft w:val="0"/>
      <w:marRight w:val="0"/>
      <w:marTop w:val="0"/>
      <w:marBottom w:val="0"/>
      <w:divBdr>
        <w:top w:val="none" w:sz="0" w:space="0" w:color="auto"/>
        <w:left w:val="none" w:sz="0" w:space="0" w:color="auto"/>
        <w:bottom w:val="none" w:sz="0" w:space="0" w:color="auto"/>
        <w:right w:val="none" w:sz="0" w:space="0" w:color="auto"/>
      </w:divBdr>
    </w:div>
    <w:div w:id="117184090">
      <w:bodyDiv w:val="1"/>
      <w:marLeft w:val="0"/>
      <w:marRight w:val="0"/>
      <w:marTop w:val="0"/>
      <w:marBottom w:val="0"/>
      <w:divBdr>
        <w:top w:val="none" w:sz="0" w:space="0" w:color="auto"/>
        <w:left w:val="none" w:sz="0" w:space="0" w:color="auto"/>
        <w:bottom w:val="none" w:sz="0" w:space="0" w:color="auto"/>
        <w:right w:val="none" w:sz="0" w:space="0" w:color="auto"/>
      </w:divBdr>
    </w:div>
    <w:div w:id="135026334">
      <w:bodyDiv w:val="1"/>
      <w:marLeft w:val="0"/>
      <w:marRight w:val="0"/>
      <w:marTop w:val="0"/>
      <w:marBottom w:val="0"/>
      <w:divBdr>
        <w:top w:val="none" w:sz="0" w:space="0" w:color="auto"/>
        <w:left w:val="none" w:sz="0" w:space="0" w:color="auto"/>
        <w:bottom w:val="none" w:sz="0" w:space="0" w:color="auto"/>
        <w:right w:val="none" w:sz="0" w:space="0" w:color="auto"/>
      </w:divBdr>
    </w:div>
    <w:div w:id="142040561">
      <w:bodyDiv w:val="1"/>
      <w:marLeft w:val="0"/>
      <w:marRight w:val="0"/>
      <w:marTop w:val="0"/>
      <w:marBottom w:val="0"/>
      <w:divBdr>
        <w:top w:val="none" w:sz="0" w:space="0" w:color="auto"/>
        <w:left w:val="none" w:sz="0" w:space="0" w:color="auto"/>
        <w:bottom w:val="none" w:sz="0" w:space="0" w:color="auto"/>
        <w:right w:val="none" w:sz="0" w:space="0" w:color="auto"/>
      </w:divBdr>
    </w:div>
    <w:div w:id="142628014">
      <w:bodyDiv w:val="1"/>
      <w:marLeft w:val="0"/>
      <w:marRight w:val="0"/>
      <w:marTop w:val="0"/>
      <w:marBottom w:val="0"/>
      <w:divBdr>
        <w:top w:val="none" w:sz="0" w:space="0" w:color="auto"/>
        <w:left w:val="none" w:sz="0" w:space="0" w:color="auto"/>
        <w:bottom w:val="none" w:sz="0" w:space="0" w:color="auto"/>
        <w:right w:val="none" w:sz="0" w:space="0" w:color="auto"/>
      </w:divBdr>
    </w:div>
    <w:div w:id="143394014">
      <w:bodyDiv w:val="1"/>
      <w:marLeft w:val="0"/>
      <w:marRight w:val="0"/>
      <w:marTop w:val="0"/>
      <w:marBottom w:val="0"/>
      <w:divBdr>
        <w:top w:val="none" w:sz="0" w:space="0" w:color="auto"/>
        <w:left w:val="none" w:sz="0" w:space="0" w:color="auto"/>
        <w:bottom w:val="none" w:sz="0" w:space="0" w:color="auto"/>
        <w:right w:val="none" w:sz="0" w:space="0" w:color="auto"/>
      </w:divBdr>
    </w:div>
    <w:div w:id="151341171">
      <w:bodyDiv w:val="1"/>
      <w:marLeft w:val="0"/>
      <w:marRight w:val="0"/>
      <w:marTop w:val="0"/>
      <w:marBottom w:val="0"/>
      <w:divBdr>
        <w:top w:val="none" w:sz="0" w:space="0" w:color="auto"/>
        <w:left w:val="none" w:sz="0" w:space="0" w:color="auto"/>
        <w:bottom w:val="none" w:sz="0" w:space="0" w:color="auto"/>
        <w:right w:val="none" w:sz="0" w:space="0" w:color="auto"/>
      </w:divBdr>
    </w:div>
    <w:div w:id="162746472">
      <w:bodyDiv w:val="1"/>
      <w:marLeft w:val="0"/>
      <w:marRight w:val="0"/>
      <w:marTop w:val="0"/>
      <w:marBottom w:val="0"/>
      <w:divBdr>
        <w:top w:val="none" w:sz="0" w:space="0" w:color="auto"/>
        <w:left w:val="none" w:sz="0" w:space="0" w:color="auto"/>
        <w:bottom w:val="none" w:sz="0" w:space="0" w:color="auto"/>
        <w:right w:val="none" w:sz="0" w:space="0" w:color="auto"/>
      </w:divBdr>
    </w:div>
    <w:div w:id="203061740">
      <w:bodyDiv w:val="1"/>
      <w:marLeft w:val="0"/>
      <w:marRight w:val="0"/>
      <w:marTop w:val="0"/>
      <w:marBottom w:val="0"/>
      <w:divBdr>
        <w:top w:val="none" w:sz="0" w:space="0" w:color="auto"/>
        <w:left w:val="none" w:sz="0" w:space="0" w:color="auto"/>
        <w:bottom w:val="none" w:sz="0" w:space="0" w:color="auto"/>
        <w:right w:val="none" w:sz="0" w:space="0" w:color="auto"/>
      </w:divBdr>
    </w:div>
    <w:div w:id="205684419">
      <w:bodyDiv w:val="1"/>
      <w:marLeft w:val="0"/>
      <w:marRight w:val="0"/>
      <w:marTop w:val="0"/>
      <w:marBottom w:val="0"/>
      <w:divBdr>
        <w:top w:val="none" w:sz="0" w:space="0" w:color="auto"/>
        <w:left w:val="none" w:sz="0" w:space="0" w:color="auto"/>
        <w:bottom w:val="none" w:sz="0" w:space="0" w:color="auto"/>
        <w:right w:val="none" w:sz="0" w:space="0" w:color="auto"/>
      </w:divBdr>
    </w:div>
    <w:div w:id="222495088">
      <w:bodyDiv w:val="1"/>
      <w:marLeft w:val="0"/>
      <w:marRight w:val="0"/>
      <w:marTop w:val="0"/>
      <w:marBottom w:val="0"/>
      <w:divBdr>
        <w:top w:val="none" w:sz="0" w:space="0" w:color="auto"/>
        <w:left w:val="none" w:sz="0" w:space="0" w:color="auto"/>
        <w:bottom w:val="none" w:sz="0" w:space="0" w:color="auto"/>
        <w:right w:val="none" w:sz="0" w:space="0" w:color="auto"/>
      </w:divBdr>
    </w:div>
    <w:div w:id="236593354">
      <w:bodyDiv w:val="1"/>
      <w:marLeft w:val="0"/>
      <w:marRight w:val="0"/>
      <w:marTop w:val="0"/>
      <w:marBottom w:val="0"/>
      <w:divBdr>
        <w:top w:val="none" w:sz="0" w:space="0" w:color="auto"/>
        <w:left w:val="none" w:sz="0" w:space="0" w:color="auto"/>
        <w:bottom w:val="none" w:sz="0" w:space="0" w:color="auto"/>
        <w:right w:val="none" w:sz="0" w:space="0" w:color="auto"/>
      </w:divBdr>
    </w:div>
    <w:div w:id="239607859">
      <w:bodyDiv w:val="1"/>
      <w:marLeft w:val="0"/>
      <w:marRight w:val="0"/>
      <w:marTop w:val="0"/>
      <w:marBottom w:val="0"/>
      <w:divBdr>
        <w:top w:val="none" w:sz="0" w:space="0" w:color="auto"/>
        <w:left w:val="none" w:sz="0" w:space="0" w:color="auto"/>
        <w:bottom w:val="none" w:sz="0" w:space="0" w:color="auto"/>
        <w:right w:val="none" w:sz="0" w:space="0" w:color="auto"/>
      </w:divBdr>
    </w:div>
    <w:div w:id="244607458">
      <w:bodyDiv w:val="1"/>
      <w:marLeft w:val="0"/>
      <w:marRight w:val="0"/>
      <w:marTop w:val="0"/>
      <w:marBottom w:val="0"/>
      <w:divBdr>
        <w:top w:val="none" w:sz="0" w:space="0" w:color="auto"/>
        <w:left w:val="none" w:sz="0" w:space="0" w:color="auto"/>
        <w:bottom w:val="none" w:sz="0" w:space="0" w:color="auto"/>
        <w:right w:val="none" w:sz="0" w:space="0" w:color="auto"/>
      </w:divBdr>
    </w:div>
    <w:div w:id="249628768">
      <w:bodyDiv w:val="1"/>
      <w:marLeft w:val="0"/>
      <w:marRight w:val="0"/>
      <w:marTop w:val="0"/>
      <w:marBottom w:val="0"/>
      <w:divBdr>
        <w:top w:val="none" w:sz="0" w:space="0" w:color="auto"/>
        <w:left w:val="none" w:sz="0" w:space="0" w:color="auto"/>
        <w:bottom w:val="none" w:sz="0" w:space="0" w:color="auto"/>
        <w:right w:val="none" w:sz="0" w:space="0" w:color="auto"/>
      </w:divBdr>
    </w:div>
    <w:div w:id="251594639">
      <w:bodyDiv w:val="1"/>
      <w:marLeft w:val="0"/>
      <w:marRight w:val="0"/>
      <w:marTop w:val="0"/>
      <w:marBottom w:val="0"/>
      <w:divBdr>
        <w:top w:val="none" w:sz="0" w:space="0" w:color="auto"/>
        <w:left w:val="none" w:sz="0" w:space="0" w:color="auto"/>
        <w:bottom w:val="none" w:sz="0" w:space="0" w:color="auto"/>
        <w:right w:val="none" w:sz="0" w:space="0" w:color="auto"/>
      </w:divBdr>
    </w:div>
    <w:div w:id="268436708">
      <w:bodyDiv w:val="1"/>
      <w:marLeft w:val="0"/>
      <w:marRight w:val="0"/>
      <w:marTop w:val="0"/>
      <w:marBottom w:val="0"/>
      <w:divBdr>
        <w:top w:val="none" w:sz="0" w:space="0" w:color="auto"/>
        <w:left w:val="none" w:sz="0" w:space="0" w:color="auto"/>
        <w:bottom w:val="none" w:sz="0" w:space="0" w:color="auto"/>
        <w:right w:val="none" w:sz="0" w:space="0" w:color="auto"/>
      </w:divBdr>
    </w:div>
    <w:div w:id="269581701">
      <w:bodyDiv w:val="1"/>
      <w:marLeft w:val="0"/>
      <w:marRight w:val="0"/>
      <w:marTop w:val="0"/>
      <w:marBottom w:val="0"/>
      <w:divBdr>
        <w:top w:val="none" w:sz="0" w:space="0" w:color="auto"/>
        <w:left w:val="none" w:sz="0" w:space="0" w:color="auto"/>
        <w:bottom w:val="none" w:sz="0" w:space="0" w:color="auto"/>
        <w:right w:val="none" w:sz="0" w:space="0" w:color="auto"/>
      </w:divBdr>
    </w:div>
    <w:div w:id="278806363">
      <w:bodyDiv w:val="1"/>
      <w:marLeft w:val="0"/>
      <w:marRight w:val="0"/>
      <w:marTop w:val="0"/>
      <w:marBottom w:val="0"/>
      <w:divBdr>
        <w:top w:val="none" w:sz="0" w:space="0" w:color="auto"/>
        <w:left w:val="none" w:sz="0" w:space="0" w:color="auto"/>
        <w:bottom w:val="none" w:sz="0" w:space="0" w:color="auto"/>
        <w:right w:val="none" w:sz="0" w:space="0" w:color="auto"/>
      </w:divBdr>
    </w:div>
    <w:div w:id="280308374">
      <w:bodyDiv w:val="1"/>
      <w:marLeft w:val="0"/>
      <w:marRight w:val="0"/>
      <w:marTop w:val="0"/>
      <w:marBottom w:val="0"/>
      <w:divBdr>
        <w:top w:val="none" w:sz="0" w:space="0" w:color="auto"/>
        <w:left w:val="none" w:sz="0" w:space="0" w:color="auto"/>
        <w:bottom w:val="none" w:sz="0" w:space="0" w:color="auto"/>
        <w:right w:val="none" w:sz="0" w:space="0" w:color="auto"/>
      </w:divBdr>
    </w:div>
    <w:div w:id="287052164">
      <w:bodyDiv w:val="1"/>
      <w:marLeft w:val="0"/>
      <w:marRight w:val="0"/>
      <w:marTop w:val="0"/>
      <w:marBottom w:val="0"/>
      <w:divBdr>
        <w:top w:val="none" w:sz="0" w:space="0" w:color="auto"/>
        <w:left w:val="none" w:sz="0" w:space="0" w:color="auto"/>
        <w:bottom w:val="none" w:sz="0" w:space="0" w:color="auto"/>
        <w:right w:val="none" w:sz="0" w:space="0" w:color="auto"/>
      </w:divBdr>
    </w:div>
    <w:div w:id="291324155">
      <w:bodyDiv w:val="1"/>
      <w:marLeft w:val="0"/>
      <w:marRight w:val="0"/>
      <w:marTop w:val="0"/>
      <w:marBottom w:val="0"/>
      <w:divBdr>
        <w:top w:val="none" w:sz="0" w:space="0" w:color="auto"/>
        <w:left w:val="none" w:sz="0" w:space="0" w:color="auto"/>
        <w:bottom w:val="none" w:sz="0" w:space="0" w:color="auto"/>
        <w:right w:val="none" w:sz="0" w:space="0" w:color="auto"/>
      </w:divBdr>
    </w:div>
    <w:div w:id="294680518">
      <w:bodyDiv w:val="1"/>
      <w:marLeft w:val="0"/>
      <w:marRight w:val="0"/>
      <w:marTop w:val="0"/>
      <w:marBottom w:val="0"/>
      <w:divBdr>
        <w:top w:val="none" w:sz="0" w:space="0" w:color="auto"/>
        <w:left w:val="none" w:sz="0" w:space="0" w:color="auto"/>
        <w:bottom w:val="none" w:sz="0" w:space="0" w:color="auto"/>
        <w:right w:val="none" w:sz="0" w:space="0" w:color="auto"/>
      </w:divBdr>
    </w:div>
    <w:div w:id="321087027">
      <w:bodyDiv w:val="1"/>
      <w:marLeft w:val="0"/>
      <w:marRight w:val="0"/>
      <w:marTop w:val="0"/>
      <w:marBottom w:val="0"/>
      <w:divBdr>
        <w:top w:val="none" w:sz="0" w:space="0" w:color="auto"/>
        <w:left w:val="none" w:sz="0" w:space="0" w:color="auto"/>
        <w:bottom w:val="none" w:sz="0" w:space="0" w:color="auto"/>
        <w:right w:val="none" w:sz="0" w:space="0" w:color="auto"/>
      </w:divBdr>
    </w:div>
    <w:div w:id="324210527">
      <w:bodyDiv w:val="1"/>
      <w:marLeft w:val="0"/>
      <w:marRight w:val="0"/>
      <w:marTop w:val="0"/>
      <w:marBottom w:val="0"/>
      <w:divBdr>
        <w:top w:val="none" w:sz="0" w:space="0" w:color="auto"/>
        <w:left w:val="none" w:sz="0" w:space="0" w:color="auto"/>
        <w:bottom w:val="none" w:sz="0" w:space="0" w:color="auto"/>
        <w:right w:val="none" w:sz="0" w:space="0" w:color="auto"/>
      </w:divBdr>
    </w:div>
    <w:div w:id="325594028">
      <w:bodyDiv w:val="1"/>
      <w:marLeft w:val="0"/>
      <w:marRight w:val="0"/>
      <w:marTop w:val="0"/>
      <w:marBottom w:val="0"/>
      <w:divBdr>
        <w:top w:val="none" w:sz="0" w:space="0" w:color="auto"/>
        <w:left w:val="none" w:sz="0" w:space="0" w:color="auto"/>
        <w:bottom w:val="none" w:sz="0" w:space="0" w:color="auto"/>
        <w:right w:val="none" w:sz="0" w:space="0" w:color="auto"/>
      </w:divBdr>
    </w:div>
    <w:div w:id="348413528">
      <w:bodyDiv w:val="1"/>
      <w:marLeft w:val="0"/>
      <w:marRight w:val="0"/>
      <w:marTop w:val="0"/>
      <w:marBottom w:val="0"/>
      <w:divBdr>
        <w:top w:val="none" w:sz="0" w:space="0" w:color="auto"/>
        <w:left w:val="none" w:sz="0" w:space="0" w:color="auto"/>
        <w:bottom w:val="none" w:sz="0" w:space="0" w:color="auto"/>
        <w:right w:val="none" w:sz="0" w:space="0" w:color="auto"/>
      </w:divBdr>
    </w:div>
    <w:div w:id="353464044">
      <w:bodyDiv w:val="1"/>
      <w:marLeft w:val="0"/>
      <w:marRight w:val="0"/>
      <w:marTop w:val="0"/>
      <w:marBottom w:val="0"/>
      <w:divBdr>
        <w:top w:val="none" w:sz="0" w:space="0" w:color="auto"/>
        <w:left w:val="none" w:sz="0" w:space="0" w:color="auto"/>
        <w:bottom w:val="none" w:sz="0" w:space="0" w:color="auto"/>
        <w:right w:val="none" w:sz="0" w:space="0" w:color="auto"/>
      </w:divBdr>
    </w:div>
    <w:div w:id="368339610">
      <w:bodyDiv w:val="1"/>
      <w:marLeft w:val="0"/>
      <w:marRight w:val="0"/>
      <w:marTop w:val="0"/>
      <w:marBottom w:val="0"/>
      <w:divBdr>
        <w:top w:val="none" w:sz="0" w:space="0" w:color="auto"/>
        <w:left w:val="none" w:sz="0" w:space="0" w:color="auto"/>
        <w:bottom w:val="none" w:sz="0" w:space="0" w:color="auto"/>
        <w:right w:val="none" w:sz="0" w:space="0" w:color="auto"/>
      </w:divBdr>
    </w:div>
    <w:div w:id="371542688">
      <w:bodyDiv w:val="1"/>
      <w:marLeft w:val="0"/>
      <w:marRight w:val="0"/>
      <w:marTop w:val="0"/>
      <w:marBottom w:val="0"/>
      <w:divBdr>
        <w:top w:val="none" w:sz="0" w:space="0" w:color="auto"/>
        <w:left w:val="none" w:sz="0" w:space="0" w:color="auto"/>
        <w:bottom w:val="none" w:sz="0" w:space="0" w:color="auto"/>
        <w:right w:val="none" w:sz="0" w:space="0" w:color="auto"/>
      </w:divBdr>
    </w:div>
    <w:div w:id="373312963">
      <w:bodyDiv w:val="1"/>
      <w:marLeft w:val="0"/>
      <w:marRight w:val="0"/>
      <w:marTop w:val="0"/>
      <w:marBottom w:val="0"/>
      <w:divBdr>
        <w:top w:val="none" w:sz="0" w:space="0" w:color="auto"/>
        <w:left w:val="none" w:sz="0" w:space="0" w:color="auto"/>
        <w:bottom w:val="none" w:sz="0" w:space="0" w:color="auto"/>
        <w:right w:val="none" w:sz="0" w:space="0" w:color="auto"/>
      </w:divBdr>
    </w:div>
    <w:div w:id="374891483">
      <w:bodyDiv w:val="1"/>
      <w:marLeft w:val="0"/>
      <w:marRight w:val="0"/>
      <w:marTop w:val="0"/>
      <w:marBottom w:val="0"/>
      <w:divBdr>
        <w:top w:val="none" w:sz="0" w:space="0" w:color="auto"/>
        <w:left w:val="none" w:sz="0" w:space="0" w:color="auto"/>
        <w:bottom w:val="none" w:sz="0" w:space="0" w:color="auto"/>
        <w:right w:val="none" w:sz="0" w:space="0" w:color="auto"/>
      </w:divBdr>
    </w:div>
    <w:div w:id="380444197">
      <w:bodyDiv w:val="1"/>
      <w:marLeft w:val="0"/>
      <w:marRight w:val="0"/>
      <w:marTop w:val="0"/>
      <w:marBottom w:val="0"/>
      <w:divBdr>
        <w:top w:val="none" w:sz="0" w:space="0" w:color="auto"/>
        <w:left w:val="none" w:sz="0" w:space="0" w:color="auto"/>
        <w:bottom w:val="none" w:sz="0" w:space="0" w:color="auto"/>
        <w:right w:val="none" w:sz="0" w:space="0" w:color="auto"/>
      </w:divBdr>
    </w:div>
    <w:div w:id="389502122">
      <w:bodyDiv w:val="1"/>
      <w:marLeft w:val="0"/>
      <w:marRight w:val="0"/>
      <w:marTop w:val="0"/>
      <w:marBottom w:val="0"/>
      <w:divBdr>
        <w:top w:val="none" w:sz="0" w:space="0" w:color="auto"/>
        <w:left w:val="none" w:sz="0" w:space="0" w:color="auto"/>
        <w:bottom w:val="none" w:sz="0" w:space="0" w:color="auto"/>
        <w:right w:val="none" w:sz="0" w:space="0" w:color="auto"/>
      </w:divBdr>
    </w:div>
    <w:div w:id="396900504">
      <w:bodyDiv w:val="1"/>
      <w:marLeft w:val="0"/>
      <w:marRight w:val="0"/>
      <w:marTop w:val="0"/>
      <w:marBottom w:val="0"/>
      <w:divBdr>
        <w:top w:val="none" w:sz="0" w:space="0" w:color="auto"/>
        <w:left w:val="none" w:sz="0" w:space="0" w:color="auto"/>
        <w:bottom w:val="none" w:sz="0" w:space="0" w:color="auto"/>
        <w:right w:val="none" w:sz="0" w:space="0" w:color="auto"/>
      </w:divBdr>
    </w:div>
    <w:div w:id="400442085">
      <w:bodyDiv w:val="1"/>
      <w:marLeft w:val="0"/>
      <w:marRight w:val="0"/>
      <w:marTop w:val="0"/>
      <w:marBottom w:val="0"/>
      <w:divBdr>
        <w:top w:val="none" w:sz="0" w:space="0" w:color="auto"/>
        <w:left w:val="none" w:sz="0" w:space="0" w:color="auto"/>
        <w:bottom w:val="none" w:sz="0" w:space="0" w:color="auto"/>
        <w:right w:val="none" w:sz="0" w:space="0" w:color="auto"/>
      </w:divBdr>
    </w:div>
    <w:div w:id="435056556">
      <w:bodyDiv w:val="1"/>
      <w:marLeft w:val="0"/>
      <w:marRight w:val="0"/>
      <w:marTop w:val="0"/>
      <w:marBottom w:val="0"/>
      <w:divBdr>
        <w:top w:val="none" w:sz="0" w:space="0" w:color="auto"/>
        <w:left w:val="none" w:sz="0" w:space="0" w:color="auto"/>
        <w:bottom w:val="none" w:sz="0" w:space="0" w:color="auto"/>
        <w:right w:val="none" w:sz="0" w:space="0" w:color="auto"/>
      </w:divBdr>
    </w:div>
    <w:div w:id="439178123">
      <w:bodyDiv w:val="1"/>
      <w:marLeft w:val="0"/>
      <w:marRight w:val="0"/>
      <w:marTop w:val="0"/>
      <w:marBottom w:val="0"/>
      <w:divBdr>
        <w:top w:val="none" w:sz="0" w:space="0" w:color="auto"/>
        <w:left w:val="none" w:sz="0" w:space="0" w:color="auto"/>
        <w:bottom w:val="none" w:sz="0" w:space="0" w:color="auto"/>
        <w:right w:val="none" w:sz="0" w:space="0" w:color="auto"/>
      </w:divBdr>
    </w:div>
    <w:div w:id="440147258">
      <w:bodyDiv w:val="1"/>
      <w:marLeft w:val="0"/>
      <w:marRight w:val="0"/>
      <w:marTop w:val="0"/>
      <w:marBottom w:val="0"/>
      <w:divBdr>
        <w:top w:val="none" w:sz="0" w:space="0" w:color="auto"/>
        <w:left w:val="none" w:sz="0" w:space="0" w:color="auto"/>
        <w:bottom w:val="none" w:sz="0" w:space="0" w:color="auto"/>
        <w:right w:val="none" w:sz="0" w:space="0" w:color="auto"/>
      </w:divBdr>
    </w:div>
    <w:div w:id="443840296">
      <w:bodyDiv w:val="1"/>
      <w:marLeft w:val="0"/>
      <w:marRight w:val="0"/>
      <w:marTop w:val="0"/>
      <w:marBottom w:val="0"/>
      <w:divBdr>
        <w:top w:val="none" w:sz="0" w:space="0" w:color="auto"/>
        <w:left w:val="none" w:sz="0" w:space="0" w:color="auto"/>
        <w:bottom w:val="none" w:sz="0" w:space="0" w:color="auto"/>
        <w:right w:val="none" w:sz="0" w:space="0" w:color="auto"/>
      </w:divBdr>
    </w:div>
    <w:div w:id="445928228">
      <w:bodyDiv w:val="1"/>
      <w:marLeft w:val="0"/>
      <w:marRight w:val="0"/>
      <w:marTop w:val="0"/>
      <w:marBottom w:val="0"/>
      <w:divBdr>
        <w:top w:val="none" w:sz="0" w:space="0" w:color="auto"/>
        <w:left w:val="none" w:sz="0" w:space="0" w:color="auto"/>
        <w:bottom w:val="none" w:sz="0" w:space="0" w:color="auto"/>
        <w:right w:val="none" w:sz="0" w:space="0" w:color="auto"/>
      </w:divBdr>
      <w:divsChild>
        <w:div w:id="1503469611">
          <w:marLeft w:val="0"/>
          <w:marRight w:val="0"/>
          <w:marTop w:val="0"/>
          <w:marBottom w:val="0"/>
          <w:divBdr>
            <w:top w:val="none" w:sz="0" w:space="0" w:color="auto"/>
            <w:left w:val="none" w:sz="0" w:space="0" w:color="auto"/>
            <w:bottom w:val="none" w:sz="0" w:space="0" w:color="auto"/>
            <w:right w:val="none" w:sz="0" w:space="0" w:color="auto"/>
          </w:divBdr>
        </w:div>
      </w:divsChild>
    </w:div>
    <w:div w:id="457918354">
      <w:bodyDiv w:val="1"/>
      <w:marLeft w:val="0"/>
      <w:marRight w:val="0"/>
      <w:marTop w:val="0"/>
      <w:marBottom w:val="0"/>
      <w:divBdr>
        <w:top w:val="none" w:sz="0" w:space="0" w:color="auto"/>
        <w:left w:val="none" w:sz="0" w:space="0" w:color="auto"/>
        <w:bottom w:val="none" w:sz="0" w:space="0" w:color="auto"/>
        <w:right w:val="none" w:sz="0" w:space="0" w:color="auto"/>
      </w:divBdr>
    </w:div>
    <w:div w:id="463817562">
      <w:bodyDiv w:val="1"/>
      <w:marLeft w:val="0"/>
      <w:marRight w:val="0"/>
      <w:marTop w:val="0"/>
      <w:marBottom w:val="0"/>
      <w:divBdr>
        <w:top w:val="none" w:sz="0" w:space="0" w:color="auto"/>
        <w:left w:val="none" w:sz="0" w:space="0" w:color="auto"/>
        <w:bottom w:val="none" w:sz="0" w:space="0" w:color="auto"/>
        <w:right w:val="none" w:sz="0" w:space="0" w:color="auto"/>
      </w:divBdr>
    </w:div>
    <w:div w:id="467826388">
      <w:bodyDiv w:val="1"/>
      <w:marLeft w:val="0"/>
      <w:marRight w:val="0"/>
      <w:marTop w:val="0"/>
      <w:marBottom w:val="0"/>
      <w:divBdr>
        <w:top w:val="none" w:sz="0" w:space="0" w:color="auto"/>
        <w:left w:val="none" w:sz="0" w:space="0" w:color="auto"/>
        <w:bottom w:val="none" w:sz="0" w:space="0" w:color="auto"/>
        <w:right w:val="none" w:sz="0" w:space="0" w:color="auto"/>
      </w:divBdr>
    </w:div>
    <w:div w:id="469054455">
      <w:bodyDiv w:val="1"/>
      <w:marLeft w:val="0"/>
      <w:marRight w:val="0"/>
      <w:marTop w:val="0"/>
      <w:marBottom w:val="0"/>
      <w:divBdr>
        <w:top w:val="none" w:sz="0" w:space="0" w:color="auto"/>
        <w:left w:val="none" w:sz="0" w:space="0" w:color="auto"/>
        <w:bottom w:val="none" w:sz="0" w:space="0" w:color="auto"/>
        <w:right w:val="none" w:sz="0" w:space="0" w:color="auto"/>
      </w:divBdr>
    </w:div>
    <w:div w:id="471557173">
      <w:bodyDiv w:val="1"/>
      <w:marLeft w:val="0"/>
      <w:marRight w:val="0"/>
      <w:marTop w:val="0"/>
      <w:marBottom w:val="0"/>
      <w:divBdr>
        <w:top w:val="none" w:sz="0" w:space="0" w:color="auto"/>
        <w:left w:val="none" w:sz="0" w:space="0" w:color="auto"/>
        <w:bottom w:val="none" w:sz="0" w:space="0" w:color="auto"/>
        <w:right w:val="none" w:sz="0" w:space="0" w:color="auto"/>
      </w:divBdr>
    </w:div>
    <w:div w:id="482504215">
      <w:bodyDiv w:val="1"/>
      <w:marLeft w:val="0"/>
      <w:marRight w:val="0"/>
      <w:marTop w:val="0"/>
      <w:marBottom w:val="0"/>
      <w:divBdr>
        <w:top w:val="none" w:sz="0" w:space="0" w:color="auto"/>
        <w:left w:val="none" w:sz="0" w:space="0" w:color="auto"/>
        <w:bottom w:val="none" w:sz="0" w:space="0" w:color="auto"/>
        <w:right w:val="none" w:sz="0" w:space="0" w:color="auto"/>
      </w:divBdr>
    </w:div>
    <w:div w:id="484131594">
      <w:bodyDiv w:val="1"/>
      <w:marLeft w:val="0"/>
      <w:marRight w:val="0"/>
      <w:marTop w:val="0"/>
      <w:marBottom w:val="0"/>
      <w:divBdr>
        <w:top w:val="none" w:sz="0" w:space="0" w:color="auto"/>
        <w:left w:val="none" w:sz="0" w:space="0" w:color="auto"/>
        <w:bottom w:val="none" w:sz="0" w:space="0" w:color="auto"/>
        <w:right w:val="none" w:sz="0" w:space="0" w:color="auto"/>
      </w:divBdr>
    </w:div>
    <w:div w:id="486290443">
      <w:bodyDiv w:val="1"/>
      <w:marLeft w:val="0"/>
      <w:marRight w:val="0"/>
      <w:marTop w:val="0"/>
      <w:marBottom w:val="0"/>
      <w:divBdr>
        <w:top w:val="none" w:sz="0" w:space="0" w:color="auto"/>
        <w:left w:val="none" w:sz="0" w:space="0" w:color="auto"/>
        <w:bottom w:val="none" w:sz="0" w:space="0" w:color="auto"/>
        <w:right w:val="none" w:sz="0" w:space="0" w:color="auto"/>
      </w:divBdr>
    </w:div>
    <w:div w:id="494608190">
      <w:bodyDiv w:val="1"/>
      <w:marLeft w:val="0"/>
      <w:marRight w:val="0"/>
      <w:marTop w:val="0"/>
      <w:marBottom w:val="0"/>
      <w:divBdr>
        <w:top w:val="none" w:sz="0" w:space="0" w:color="auto"/>
        <w:left w:val="none" w:sz="0" w:space="0" w:color="auto"/>
        <w:bottom w:val="none" w:sz="0" w:space="0" w:color="auto"/>
        <w:right w:val="none" w:sz="0" w:space="0" w:color="auto"/>
      </w:divBdr>
    </w:div>
    <w:div w:id="499541595">
      <w:bodyDiv w:val="1"/>
      <w:marLeft w:val="0"/>
      <w:marRight w:val="0"/>
      <w:marTop w:val="0"/>
      <w:marBottom w:val="0"/>
      <w:divBdr>
        <w:top w:val="none" w:sz="0" w:space="0" w:color="auto"/>
        <w:left w:val="none" w:sz="0" w:space="0" w:color="auto"/>
        <w:bottom w:val="none" w:sz="0" w:space="0" w:color="auto"/>
        <w:right w:val="none" w:sz="0" w:space="0" w:color="auto"/>
      </w:divBdr>
    </w:div>
    <w:div w:id="501890791">
      <w:bodyDiv w:val="1"/>
      <w:marLeft w:val="0"/>
      <w:marRight w:val="0"/>
      <w:marTop w:val="0"/>
      <w:marBottom w:val="0"/>
      <w:divBdr>
        <w:top w:val="none" w:sz="0" w:space="0" w:color="auto"/>
        <w:left w:val="none" w:sz="0" w:space="0" w:color="auto"/>
        <w:bottom w:val="none" w:sz="0" w:space="0" w:color="auto"/>
        <w:right w:val="none" w:sz="0" w:space="0" w:color="auto"/>
      </w:divBdr>
    </w:div>
    <w:div w:id="520751532">
      <w:bodyDiv w:val="1"/>
      <w:marLeft w:val="0"/>
      <w:marRight w:val="0"/>
      <w:marTop w:val="0"/>
      <w:marBottom w:val="0"/>
      <w:divBdr>
        <w:top w:val="none" w:sz="0" w:space="0" w:color="auto"/>
        <w:left w:val="none" w:sz="0" w:space="0" w:color="auto"/>
        <w:bottom w:val="none" w:sz="0" w:space="0" w:color="auto"/>
        <w:right w:val="none" w:sz="0" w:space="0" w:color="auto"/>
      </w:divBdr>
    </w:div>
    <w:div w:id="559946318">
      <w:bodyDiv w:val="1"/>
      <w:marLeft w:val="0"/>
      <w:marRight w:val="0"/>
      <w:marTop w:val="0"/>
      <w:marBottom w:val="0"/>
      <w:divBdr>
        <w:top w:val="none" w:sz="0" w:space="0" w:color="auto"/>
        <w:left w:val="none" w:sz="0" w:space="0" w:color="auto"/>
        <w:bottom w:val="none" w:sz="0" w:space="0" w:color="auto"/>
        <w:right w:val="none" w:sz="0" w:space="0" w:color="auto"/>
      </w:divBdr>
    </w:div>
    <w:div w:id="569463711">
      <w:bodyDiv w:val="1"/>
      <w:marLeft w:val="0"/>
      <w:marRight w:val="0"/>
      <w:marTop w:val="0"/>
      <w:marBottom w:val="0"/>
      <w:divBdr>
        <w:top w:val="none" w:sz="0" w:space="0" w:color="auto"/>
        <w:left w:val="none" w:sz="0" w:space="0" w:color="auto"/>
        <w:bottom w:val="none" w:sz="0" w:space="0" w:color="auto"/>
        <w:right w:val="none" w:sz="0" w:space="0" w:color="auto"/>
      </w:divBdr>
    </w:div>
    <w:div w:id="575818378">
      <w:bodyDiv w:val="1"/>
      <w:marLeft w:val="0"/>
      <w:marRight w:val="0"/>
      <w:marTop w:val="0"/>
      <w:marBottom w:val="0"/>
      <w:divBdr>
        <w:top w:val="none" w:sz="0" w:space="0" w:color="auto"/>
        <w:left w:val="none" w:sz="0" w:space="0" w:color="auto"/>
        <w:bottom w:val="none" w:sz="0" w:space="0" w:color="auto"/>
        <w:right w:val="none" w:sz="0" w:space="0" w:color="auto"/>
      </w:divBdr>
    </w:div>
    <w:div w:id="596447942">
      <w:bodyDiv w:val="1"/>
      <w:marLeft w:val="0"/>
      <w:marRight w:val="0"/>
      <w:marTop w:val="0"/>
      <w:marBottom w:val="0"/>
      <w:divBdr>
        <w:top w:val="none" w:sz="0" w:space="0" w:color="auto"/>
        <w:left w:val="none" w:sz="0" w:space="0" w:color="auto"/>
        <w:bottom w:val="none" w:sz="0" w:space="0" w:color="auto"/>
        <w:right w:val="none" w:sz="0" w:space="0" w:color="auto"/>
      </w:divBdr>
    </w:div>
    <w:div w:id="602802843">
      <w:bodyDiv w:val="1"/>
      <w:marLeft w:val="0"/>
      <w:marRight w:val="0"/>
      <w:marTop w:val="0"/>
      <w:marBottom w:val="0"/>
      <w:divBdr>
        <w:top w:val="none" w:sz="0" w:space="0" w:color="auto"/>
        <w:left w:val="none" w:sz="0" w:space="0" w:color="auto"/>
        <w:bottom w:val="none" w:sz="0" w:space="0" w:color="auto"/>
        <w:right w:val="none" w:sz="0" w:space="0" w:color="auto"/>
      </w:divBdr>
    </w:div>
    <w:div w:id="610359662">
      <w:bodyDiv w:val="1"/>
      <w:marLeft w:val="0"/>
      <w:marRight w:val="0"/>
      <w:marTop w:val="0"/>
      <w:marBottom w:val="0"/>
      <w:divBdr>
        <w:top w:val="none" w:sz="0" w:space="0" w:color="auto"/>
        <w:left w:val="none" w:sz="0" w:space="0" w:color="auto"/>
        <w:bottom w:val="none" w:sz="0" w:space="0" w:color="auto"/>
        <w:right w:val="none" w:sz="0" w:space="0" w:color="auto"/>
      </w:divBdr>
    </w:div>
    <w:div w:id="625279136">
      <w:bodyDiv w:val="1"/>
      <w:marLeft w:val="0"/>
      <w:marRight w:val="0"/>
      <w:marTop w:val="0"/>
      <w:marBottom w:val="0"/>
      <w:divBdr>
        <w:top w:val="none" w:sz="0" w:space="0" w:color="auto"/>
        <w:left w:val="none" w:sz="0" w:space="0" w:color="auto"/>
        <w:bottom w:val="none" w:sz="0" w:space="0" w:color="auto"/>
        <w:right w:val="none" w:sz="0" w:space="0" w:color="auto"/>
      </w:divBdr>
    </w:div>
    <w:div w:id="630869321">
      <w:bodyDiv w:val="1"/>
      <w:marLeft w:val="0"/>
      <w:marRight w:val="0"/>
      <w:marTop w:val="0"/>
      <w:marBottom w:val="0"/>
      <w:divBdr>
        <w:top w:val="none" w:sz="0" w:space="0" w:color="auto"/>
        <w:left w:val="none" w:sz="0" w:space="0" w:color="auto"/>
        <w:bottom w:val="none" w:sz="0" w:space="0" w:color="auto"/>
        <w:right w:val="none" w:sz="0" w:space="0" w:color="auto"/>
      </w:divBdr>
    </w:div>
    <w:div w:id="634986218">
      <w:bodyDiv w:val="1"/>
      <w:marLeft w:val="0"/>
      <w:marRight w:val="0"/>
      <w:marTop w:val="0"/>
      <w:marBottom w:val="0"/>
      <w:divBdr>
        <w:top w:val="none" w:sz="0" w:space="0" w:color="auto"/>
        <w:left w:val="none" w:sz="0" w:space="0" w:color="auto"/>
        <w:bottom w:val="none" w:sz="0" w:space="0" w:color="auto"/>
        <w:right w:val="none" w:sz="0" w:space="0" w:color="auto"/>
      </w:divBdr>
    </w:div>
    <w:div w:id="659423968">
      <w:bodyDiv w:val="1"/>
      <w:marLeft w:val="0"/>
      <w:marRight w:val="0"/>
      <w:marTop w:val="0"/>
      <w:marBottom w:val="0"/>
      <w:divBdr>
        <w:top w:val="none" w:sz="0" w:space="0" w:color="auto"/>
        <w:left w:val="none" w:sz="0" w:space="0" w:color="auto"/>
        <w:bottom w:val="none" w:sz="0" w:space="0" w:color="auto"/>
        <w:right w:val="none" w:sz="0" w:space="0" w:color="auto"/>
      </w:divBdr>
    </w:div>
    <w:div w:id="671179073">
      <w:bodyDiv w:val="1"/>
      <w:marLeft w:val="0"/>
      <w:marRight w:val="0"/>
      <w:marTop w:val="0"/>
      <w:marBottom w:val="0"/>
      <w:divBdr>
        <w:top w:val="none" w:sz="0" w:space="0" w:color="auto"/>
        <w:left w:val="none" w:sz="0" w:space="0" w:color="auto"/>
        <w:bottom w:val="none" w:sz="0" w:space="0" w:color="auto"/>
        <w:right w:val="none" w:sz="0" w:space="0" w:color="auto"/>
      </w:divBdr>
    </w:div>
    <w:div w:id="674652945">
      <w:bodyDiv w:val="1"/>
      <w:marLeft w:val="0"/>
      <w:marRight w:val="0"/>
      <w:marTop w:val="0"/>
      <w:marBottom w:val="0"/>
      <w:divBdr>
        <w:top w:val="none" w:sz="0" w:space="0" w:color="auto"/>
        <w:left w:val="none" w:sz="0" w:space="0" w:color="auto"/>
        <w:bottom w:val="none" w:sz="0" w:space="0" w:color="auto"/>
        <w:right w:val="none" w:sz="0" w:space="0" w:color="auto"/>
      </w:divBdr>
      <w:divsChild>
        <w:div w:id="1535651013">
          <w:marLeft w:val="0"/>
          <w:marRight w:val="0"/>
          <w:marTop w:val="0"/>
          <w:marBottom w:val="0"/>
          <w:divBdr>
            <w:top w:val="none" w:sz="0" w:space="0" w:color="auto"/>
            <w:left w:val="none" w:sz="0" w:space="0" w:color="auto"/>
            <w:bottom w:val="none" w:sz="0" w:space="0" w:color="auto"/>
            <w:right w:val="none" w:sz="0" w:space="0" w:color="auto"/>
          </w:divBdr>
        </w:div>
      </w:divsChild>
    </w:div>
    <w:div w:id="728967314">
      <w:bodyDiv w:val="1"/>
      <w:marLeft w:val="0"/>
      <w:marRight w:val="0"/>
      <w:marTop w:val="0"/>
      <w:marBottom w:val="0"/>
      <w:divBdr>
        <w:top w:val="none" w:sz="0" w:space="0" w:color="auto"/>
        <w:left w:val="none" w:sz="0" w:space="0" w:color="auto"/>
        <w:bottom w:val="none" w:sz="0" w:space="0" w:color="auto"/>
        <w:right w:val="none" w:sz="0" w:space="0" w:color="auto"/>
      </w:divBdr>
    </w:div>
    <w:div w:id="745956615">
      <w:bodyDiv w:val="1"/>
      <w:marLeft w:val="0"/>
      <w:marRight w:val="0"/>
      <w:marTop w:val="0"/>
      <w:marBottom w:val="0"/>
      <w:divBdr>
        <w:top w:val="none" w:sz="0" w:space="0" w:color="auto"/>
        <w:left w:val="none" w:sz="0" w:space="0" w:color="auto"/>
        <w:bottom w:val="none" w:sz="0" w:space="0" w:color="auto"/>
        <w:right w:val="none" w:sz="0" w:space="0" w:color="auto"/>
      </w:divBdr>
    </w:div>
    <w:div w:id="754862803">
      <w:bodyDiv w:val="1"/>
      <w:marLeft w:val="0"/>
      <w:marRight w:val="0"/>
      <w:marTop w:val="0"/>
      <w:marBottom w:val="0"/>
      <w:divBdr>
        <w:top w:val="none" w:sz="0" w:space="0" w:color="auto"/>
        <w:left w:val="none" w:sz="0" w:space="0" w:color="auto"/>
        <w:bottom w:val="none" w:sz="0" w:space="0" w:color="auto"/>
        <w:right w:val="none" w:sz="0" w:space="0" w:color="auto"/>
      </w:divBdr>
    </w:div>
    <w:div w:id="758646413">
      <w:bodyDiv w:val="1"/>
      <w:marLeft w:val="0"/>
      <w:marRight w:val="0"/>
      <w:marTop w:val="0"/>
      <w:marBottom w:val="0"/>
      <w:divBdr>
        <w:top w:val="none" w:sz="0" w:space="0" w:color="auto"/>
        <w:left w:val="none" w:sz="0" w:space="0" w:color="auto"/>
        <w:bottom w:val="none" w:sz="0" w:space="0" w:color="auto"/>
        <w:right w:val="none" w:sz="0" w:space="0" w:color="auto"/>
      </w:divBdr>
    </w:div>
    <w:div w:id="761800230">
      <w:bodyDiv w:val="1"/>
      <w:marLeft w:val="0"/>
      <w:marRight w:val="0"/>
      <w:marTop w:val="0"/>
      <w:marBottom w:val="0"/>
      <w:divBdr>
        <w:top w:val="none" w:sz="0" w:space="0" w:color="auto"/>
        <w:left w:val="none" w:sz="0" w:space="0" w:color="auto"/>
        <w:bottom w:val="none" w:sz="0" w:space="0" w:color="auto"/>
        <w:right w:val="none" w:sz="0" w:space="0" w:color="auto"/>
      </w:divBdr>
    </w:div>
    <w:div w:id="763115930">
      <w:bodyDiv w:val="1"/>
      <w:marLeft w:val="0"/>
      <w:marRight w:val="0"/>
      <w:marTop w:val="0"/>
      <w:marBottom w:val="0"/>
      <w:divBdr>
        <w:top w:val="none" w:sz="0" w:space="0" w:color="auto"/>
        <w:left w:val="none" w:sz="0" w:space="0" w:color="auto"/>
        <w:bottom w:val="none" w:sz="0" w:space="0" w:color="auto"/>
        <w:right w:val="none" w:sz="0" w:space="0" w:color="auto"/>
      </w:divBdr>
    </w:div>
    <w:div w:id="774904623">
      <w:bodyDiv w:val="1"/>
      <w:marLeft w:val="0"/>
      <w:marRight w:val="0"/>
      <w:marTop w:val="0"/>
      <w:marBottom w:val="0"/>
      <w:divBdr>
        <w:top w:val="none" w:sz="0" w:space="0" w:color="auto"/>
        <w:left w:val="none" w:sz="0" w:space="0" w:color="auto"/>
        <w:bottom w:val="none" w:sz="0" w:space="0" w:color="auto"/>
        <w:right w:val="none" w:sz="0" w:space="0" w:color="auto"/>
      </w:divBdr>
    </w:div>
    <w:div w:id="785848344">
      <w:bodyDiv w:val="1"/>
      <w:marLeft w:val="0"/>
      <w:marRight w:val="0"/>
      <w:marTop w:val="0"/>
      <w:marBottom w:val="0"/>
      <w:divBdr>
        <w:top w:val="none" w:sz="0" w:space="0" w:color="auto"/>
        <w:left w:val="none" w:sz="0" w:space="0" w:color="auto"/>
        <w:bottom w:val="none" w:sz="0" w:space="0" w:color="auto"/>
        <w:right w:val="none" w:sz="0" w:space="0" w:color="auto"/>
      </w:divBdr>
    </w:div>
    <w:div w:id="800078431">
      <w:bodyDiv w:val="1"/>
      <w:marLeft w:val="0"/>
      <w:marRight w:val="0"/>
      <w:marTop w:val="0"/>
      <w:marBottom w:val="0"/>
      <w:divBdr>
        <w:top w:val="none" w:sz="0" w:space="0" w:color="auto"/>
        <w:left w:val="none" w:sz="0" w:space="0" w:color="auto"/>
        <w:bottom w:val="none" w:sz="0" w:space="0" w:color="auto"/>
        <w:right w:val="none" w:sz="0" w:space="0" w:color="auto"/>
      </w:divBdr>
    </w:div>
    <w:div w:id="801580665">
      <w:bodyDiv w:val="1"/>
      <w:marLeft w:val="0"/>
      <w:marRight w:val="0"/>
      <w:marTop w:val="0"/>
      <w:marBottom w:val="0"/>
      <w:divBdr>
        <w:top w:val="none" w:sz="0" w:space="0" w:color="auto"/>
        <w:left w:val="none" w:sz="0" w:space="0" w:color="auto"/>
        <w:bottom w:val="none" w:sz="0" w:space="0" w:color="auto"/>
        <w:right w:val="none" w:sz="0" w:space="0" w:color="auto"/>
      </w:divBdr>
    </w:div>
    <w:div w:id="802382216">
      <w:bodyDiv w:val="1"/>
      <w:marLeft w:val="0"/>
      <w:marRight w:val="0"/>
      <w:marTop w:val="0"/>
      <w:marBottom w:val="0"/>
      <w:divBdr>
        <w:top w:val="none" w:sz="0" w:space="0" w:color="auto"/>
        <w:left w:val="none" w:sz="0" w:space="0" w:color="auto"/>
        <w:bottom w:val="none" w:sz="0" w:space="0" w:color="auto"/>
        <w:right w:val="none" w:sz="0" w:space="0" w:color="auto"/>
      </w:divBdr>
    </w:div>
    <w:div w:id="827983543">
      <w:bodyDiv w:val="1"/>
      <w:marLeft w:val="0"/>
      <w:marRight w:val="0"/>
      <w:marTop w:val="0"/>
      <w:marBottom w:val="0"/>
      <w:divBdr>
        <w:top w:val="none" w:sz="0" w:space="0" w:color="auto"/>
        <w:left w:val="none" w:sz="0" w:space="0" w:color="auto"/>
        <w:bottom w:val="none" w:sz="0" w:space="0" w:color="auto"/>
        <w:right w:val="none" w:sz="0" w:space="0" w:color="auto"/>
      </w:divBdr>
    </w:div>
    <w:div w:id="840465147">
      <w:bodyDiv w:val="1"/>
      <w:marLeft w:val="0"/>
      <w:marRight w:val="0"/>
      <w:marTop w:val="0"/>
      <w:marBottom w:val="0"/>
      <w:divBdr>
        <w:top w:val="none" w:sz="0" w:space="0" w:color="auto"/>
        <w:left w:val="none" w:sz="0" w:space="0" w:color="auto"/>
        <w:bottom w:val="none" w:sz="0" w:space="0" w:color="auto"/>
        <w:right w:val="none" w:sz="0" w:space="0" w:color="auto"/>
      </w:divBdr>
    </w:div>
    <w:div w:id="860899250">
      <w:bodyDiv w:val="1"/>
      <w:marLeft w:val="0"/>
      <w:marRight w:val="0"/>
      <w:marTop w:val="0"/>
      <w:marBottom w:val="0"/>
      <w:divBdr>
        <w:top w:val="none" w:sz="0" w:space="0" w:color="auto"/>
        <w:left w:val="none" w:sz="0" w:space="0" w:color="auto"/>
        <w:bottom w:val="none" w:sz="0" w:space="0" w:color="auto"/>
        <w:right w:val="none" w:sz="0" w:space="0" w:color="auto"/>
      </w:divBdr>
    </w:div>
    <w:div w:id="869032718">
      <w:bodyDiv w:val="1"/>
      <w:marLeft w:val="0"/>
      <w:marRight w:val="0"/>
      <w:marTop w:val="0"/>
      <w:marBottom w:val="0"/>
      <w:divBdr>
        <w:top w:val="none" w:sz="0" w:space="0" w:color="auto"/>
        <w:left w:val="none" w:sz="0" w:space="0" w:color="auto"/>
        <w:bottom w:val="none" w:sz="0" w:space="0" w:color="auto"/>
        <w:right w:val="none" w:sz="0" w:space="0" w:color="auto"/>
      </w:divBdr>
    </w:div>
    <w:div w:id="875778031">
      <w:bodyDiv w:val="1"/>
      <w:marLeft w:val="0"/>
      <w:marRight w:val="0"/>
      <w:marTop w:val="0"/>
      <w:marBottom w:val="0"/>
      <w:divBdr>
        <w:top w:val="none" w:sz="0" w:space="0" w:color="auto"/>
        <w:left w:val="none" w:sz="0" w:space="0" w:color="auto"/>
        <w:bottom w:val="none" w:sz="0" w:space="0" w:color="auto"/>
        <w:right w:val="none" w:sz="0" w:space="0" w:color="auto"/>
      </w:divBdr>
    </w:div>
    <w:div w:id="886456114">
      <w:bodyDiv w:val="1"/>
      <w:marLeft w:val="0"/>
      <w:marRight w:val="0"/>
      <w:marTop w:val="0"/>
      <w:marBottom w:val="0"/>
      <w:divBdr>
        <w:top w:val="none" w:sz="0" w:space="0" w:color="auto"/>
        <w:left w:val="none" w:sz="0" w:space="0" w:color="auto"/>
        <w:bottom w:val="none" w:sz="0" w:space="0" w:color="auto"/>
        <w:right w:val="none" w:sz="0" w:space="0" w:color="auto"/>
      </w:divBdr>
    </w:div>
    <w:div w:id="901330563">
      <w:bodyDiv w:val="1"/>
      <w:marLeft w:val="0"/>
      <w:marRight w:val="0"/>
      <w:marTop w:val="0"/>
      <w:marBottom w:val="0"/>
      <w:divBdr>
        <w:top w:val="none" w:sz="0" w:space="0" w:color="auto"/>
        <w:left w:val="none" w:sz="0" w:space="0" w:color="auto"/>
        <w:bottom w:val="none" w:sz="0" w:space="0" w:color="auto"/>
        <w:right w:val="none" w:sz="0" w:space="0" w:color="auto"/>
      </w:divBdr>
    </w:div>
    <w:div w:id="914902088">
      <w:bodyDiv w:val="1"/>
      <w:marLeft w:val="0"/>
      <w:marRight w:val="0"/>
      <w:marTop w:val="0"/>
      <w:marBottom w:val="0"/>
      <w:divBdr>
        <w:top w:val="none" w:sz="0" w:space="0" w:color="auto"/>
        <w:left w:val="none" w:sz="0" w:space="0" w:color="auto"/>
        <w:bottom w:val="none" w:sz="0" w:space="0" w:color="auto"/>
        <w:right w:val="none" w:sz="0" w:space="0" w:color="auto"/>
      </w:divBdr>
    </w:div>
    <w:div w:id="928464834">
      <w:bodyDiv w:val="1"/>
      <w:marLeft w:val="0"/>
      <w:marRight w:val="0"/>
      <w:marTop w:val="0"/>
      <w:marBottom w:val="0"/>
      <w:divBdr>
        <w:top w:val="none" w:sz="0" w:space="0" w:color="auto"/>
        <w:left w:val="none" w:sz="0" w:space="0" w:color="auto"/>
        <w:bottom w:val="none" w:sz="0" w:space="0" w:color="auto"/>
        <w:right w:val="none" w:sz="0" w:space="0" w:color="auto"/>
      </w:divBdr>
    </w:div>
    <w:div w:id="935602597">
      <w:bodyDiv w:val="1"/>
      <w:marLeft w:val="0"/>
      <w:marRight w:val="0"/>
      <w:marTop w:val="0"/>
      <w:marBottom w:val="0"/>
      <w:divBdr>
        <w:top w:val="none" w:sz="0" w:space="0" w:color="auto"/>
        <w:left w:val="none" w:sz="0" w:space="0" w:color="auto"/>
        <w:bottom w:val="none" w:sz="0" w:space="0" w:color="auto"/>
        <w:right w:val="none" w:sz="0" w:space="0" w:color="auto"/>
      </w:divBdr>
    </w:div>
    <w:div w:id="949630189">
      <w:bodyDiv w:val="1"/>
      <w:marLeft w:val="0"/>
      <w:marRight w:val="0"/>
      <w:marTop w:val="0"/>
      <w:marBottom w:val="0"/>
      <w:divBdr>
        <w:top w:val="none" w:sz="0" w:space="0" w:color="auto"/>
        <w:left w:val="none" w:sz="0" w:space="0" w:color="auto"/>
        <w:bottom w:val="none" w:sz="0" w:space="0" w:color="auto"/>
        <w:right w:val="none" w:sz="0" w:space="0" w:color="auto"/>
      </w:divBdr>
    </w:div>
    <w:div w:id="959602787">
      <w:bodyDiv w:val="1"/>
      <w:marLeft w:val="0"/>
      <w:marRight w:val="0"/>
      <w:marTop w:val="0"/>
      <w:marBottom w:val="0"/>
      <w:divBdr>
        <w:top w:val="none" w:sz="0" w:space="0" w:color="auto"/>
        <w:left w:val="none" w:sz="0" w:space="0" w:color="auto"/>
        <w:bottom w:val="none" w:sz="0" w:space="0" w:color="auto"/>
        <w:right w:val="none" w:sz="0" w:space="0" w:color="auto"/>
      </w:divBdr>
    </w:div>
    <w:div w:id="965236134">
      <w:bodyDiv w:val="1"/>
      <w:marLeft w:val="0"/>
      <w:marRight w:val="0"/>
      <w:marTop w:val="0"/>
      <w:marBottom w:val="0"/>
      <w:divBdr>
        <w:top w:val="none" w:sz="0" w:space="0" w:color="auto"/>
        <w:left w:val="none" w:sz="0" w:space="0" w:color="auto"/>
        <w:bottom w:val="none" w:sz="0" w:space="0" w:color="auto"/>
        <w:right w:val="none" w:sz="0" w:space="0" w:color="auto"/>
      </w:divBdr>
    </w:div>
    <w:div w:id="967932896">
      <w:bodyDiv w:val="1"/>
      <w:marLeft w:val="0"/>
      <w:marRight w:val="0"/>
      <w:marTop w:val="0"/>
      <w:marBottom w:val="0"/>
      <w:divBdr>
        <w:top w:val="none" w:sz="0" w:space="0" w:color="auto"/>
        <w:left w:val="none" w:sz="0" w:space="0" w:color="auto"/>
        <w:bottom w:val="none" w:sz="0" w:space="0" w:color="auto"/>
        <w:right w:val="none" w:sz="0" w:space="0" w:color="auto"/>
      </w:divBdr>
    </w:div>
    <w:div w:id="976762553">
      <w:bodyDiv w:val="1"/>
      <w:marLeft w:val="0"/>
      <w:marRight w:val="0"/>
      <w:marTop w:val="0"/>
      <w:marBottom w:val="0"/>
      <w:divBdr>
        <w:top w:val="none" w:sz="0" w:space="0" w:color="auto"/>
        <w:left w:val="none" w:sz="0" w:space="0" w:color="auto"/>
        <w:bottom w:val="none" w:sz="0" w:space="0" w:color="auto"/>
        <w:right w:val="none" w:sz="0" w:space="0" w:color="auto"/>
      </w:divBdr>
    </w:div>
    <w:div w:id="984235469">
      <w:bodyDiv w:val="1"/>
      <w:marLeft w:val="0"/>
      <w:marRight w:val="0"/>
      <w:marTop w:val="0"/>
      <w:marBottom w:val="0"/>
      <w:divBdr>
        <w:top w:val="none" w:sz="0" w:space="0" w:color="auto"/>
        <w:left w:val="none" w:sz="0" w:space="0" w:color="auto"/>
        <w:bottom w:val="none" w:sz="0" w:space="0" w:color="auto"/>
        <w:right w:val="none" w:sz="0" w:space="0" w:color="auto"/>
      </w:divBdr>
    </w:div>
    <w:div w:id="1013723869">
      <w:bodyDiv w:val="1"/>
      <w:marLeft w:val="0"/>
      <w:marRight w:val="0"/>
      <w:marTop w:val="0"/>
      <w:marBottom w:val="0"/>
      <w:divBdr>
        <w:top w:val="none" w:sz="0" w:space="0" w:color="auto"/>
        <w:left w:val="none" w:sz="0" w:space="0" w:color="auto"/>
        <w:bottom w:val="none" w:sz="0" w:space="0" w:color="auto"/>
        <w:right w:val="none" w:sz="0" w:space="0" w:color="auto"/>
      </w:divBdr>
    </w:div>
    <w:div w:id="1019820415">
      <w:bodyDiv w:val="1"/>
      <w:marLeft w:val="0"/>
      <w:marRight w:val="0"/>
      <w:marTop w:val="0"/>
      <w:marBottom w:val="0"/>
      <w:divBdr>
        <w:top w:val="none" w:sz="0" w:space="0" w:color="auto"/>
        <w:left w:val="none" w:sz="0" w:space="0" w:color="auto"/>
        <w:bottom w:val="none" w:sz="0" w:space="0" w:color="auto"/>
        <w:right w:val="none" w:sz="0" w:space="0" w:color="auto"/>
      </w:divBdr>
    </w:div>
    <w:div w:id="1054045515">
      <w:bodyDiv w:val="1"/>
      <w:marLeft w:val="0"/>
      <w:marRight w:val="0"/>
      <w:marTop w:val="0"/>
      <w:marBottom w:val="0"/>
      <w:divBdr>
        <w:top w:val="none" w:sz="0" w:space="0" w:color="auto"/>
        <w:left w:val="none" w:sz="0" w:space="0" w:color="auto"/>
        <w:bottom w:val="none" w:sz="0" w:space="0" w:color="auto"/>
        <w:right w:val="none" w:sz="0" w:space="0" w:color="auto"/>
      </w:divBdr>
    </w:div>
    <w:div w:id="1062023640">
      <w:bodyDiv w:val="1"/>
      <w:marLeft w:val="0"/>
      <w:marRight w:val="0"/>
      <w:marTop w:val="0"/>
      <w:marBottom w:val="0"/>
      <w:divBdr>
        <w:top w:val="none" w:sz="0" w:space="0" w:color="auto"/>
        <w:left w:val="none" w:sz="0" w:space="0" w:color="auto"/>
        <w:bottom w:val="none" w:sz="0" w:space="0" w:color="auto"/>
        <w:right w:val="none" w:sz="0" w:space="0" w:color="auto"/>
      </w:divBdr>
    </w:div>
    <w:div w:id="1062480546">
      <w:bodyDiv w:val="1"/>
      <w:marLeft w:val="0"/>
      <w:marRight w:val="0"/>
      <w:marTop w:val="0"/>
      <w:marBottom w:val="0"/>
      <w:divBdr>
        <w:top w:val="none" w:sz="0" w:space="0" w:color="auto"/>
        <w:left w:val="none" w:sz="0" w:space="0" w:color="auto"/>
        <w:bottom w:val="none" w:sz="0" w:space="0" w:color="auto"/>
        <w:right w:val="none" w:sz="0" w:space="0" w:color="auto"/>
      </w:divBdr>
    </w:div>
    <w:div w:id="1082876381">
      <w:bodyDiv w:val="1"/>
      <w:marLeft w:val="0"/>
      <w:marRight w:val="0"/>
      <w:marTop w:val="0"/>
      <w:marBottom w:val="0"/>
      <w:divBdr>
        <w:top w:val="none" w:sz="0" w:space="0" w:color="auto"/>
        <w:left w:val="none" w:sz="0" w:space="0" w:color="auto"/>
        <w:bottom w:val="none" w:sz="0" w:space="0" w:color="auto"/>
        <w:right w:val="none" w:sz="0" w:space="0" w:color="auto"/>
      </w:divBdr>
    </w:div>
    <w:div w:id="1088769264">
      <w:bodyDiv w:val="1"/>
      <w:marLeft w:val="0"/>
      <w:marRight w:val="0"/>
      <w:marTop w:val="0"/>
      <w:marBottom w:val="0"/>
      <w:divBdr>
        <w:top w:val="none" w:sz="0" w:space="0" w:color="auto"/>
        <w:left w:val="none" w:sz="0" w:space="0" w:color="auto"/>
        <w:bottom w:val="none" w:sz="0" w:space="0" w:color="auto"/>
        <w:right w:val="none" w:sz="0" w:space="0" w:color="auto"/>
      </w:divBdr>
    </w:div>
    <w:div w:id="1100904919">
      <w:bodyDiv w:val="1"/>
      <w:marLeft w:val="0"/>
      <w:marRight w:val="0"/>
      <w:marTop w:val="0"/>
      <w:marBottom w:val="0"/>
      <w:divBdr>
        <w:top w:val="none" w:sz="0" w:space="0" w:color="auto"/>
        <w:left w:val="none" w:sz="0" w:space="0" w:color="auto"/>
        <w:bottom w:val="none" w:sz="0" w:space="0" w:color="auto"/>
        <w:right w:val="none" w:sz="0" w:space="0" w:color="auto"/>
      </w:divBdr>
    </w:div>
    <w:div w:id="1103257733">
      <w:bodyDiv w:val="1"/>
      <w:marLeft w:val="0"/>
      <w:marRight w:val="0"/>
      <w:marTop w:val="0"/>
      <w:marBottom w:val="0"/>
      <w:divBdr>
        <w:top w:val="none" w:sz="0" w:space="0" w:color="auto"/>
        <w:left w:val="none" w:sz="0" w:space="0" w:color="auto"/>
        <w:bottom w:val="none" w:sz="0" w:space="0" w:color="auto"/>
        <w:right w:val="none" w:sz="0" w:space="0" w:color="auto"/>
      </w:divBdr>
    </w:div>
    <w:div w:id="1119372284">
      <w:bodyDiv w:val="1"/>
      <w:marLeft w:val="0"/>
      <w:marRight w:val="0"/>
      <w:marTop w:val="0"/>
      <w:marBottom w:val="0"/>
      <w:divBdr>
        <w:top w:val="none" w:sz="0" w:space="0" w:color="auto"/>
        <w:left w:val="none" w:sz="0" w:space="0" w:color="auto"/>
        <w:bottom w:val="none" w:sz="0" w:space="0" w:color="auto"/>
        <w:right w:val="none" w:sz="0" w:space="0" w:color="auto"/>
      </w:divBdr>
    </w:div>
    <w:div w:id="1126847884">
      <w:bodyDiv w:val="1"/>
      <w:marLeft w:val="0"/>
      <w:marRight w:val="0"/>
      <w:marTop w:val="0"/>
      <w:marBottom w:val="0"/>
      <w:divBdr>
        <w:top w:val="none" w:sz="0" w:space="0" w:color="auto"/>
        <w:left w:val="none" w:sz="0" w:space="0" w:color="auto"/>
        <w:bottom w:val="none" w:sz="0" w:space="0" w:color="auto"/>
        <w:right w:val="none" w:sz="0" w:space="0" w:color="auto"/>
      </w:divBdr>
    </w:div>
    <w:div w:id="1127620460">
      <w:bodyDiv w:val="1"/>
      <w:marLeft w:val="0"/>
      <w:marRight w:val="0"/>
      <w:marTop w:val="0"/>
      <w:marBottom w:val="0"/>
      <w:divBdr>
        <w:top w:val="none" w:sz="0" w:space="0" w:color="auto"/>
        <w:left w:val="none" w:sz="0" w:space="0" w:color="auto"/>
        <w:bottom w:val="none" w:sz="0" w:space="0" w:color="auto"/>
        <w:right w:val="none" w:sz="0" w:space="0" w:color="auto"/>
      </w:divBdr>
    </w:div>
    <w:div w:id="1131942727">
      <w:bodyDiv w:val="1"/>
      <w:marLeft w:val="0"/>
      <w:marRight w:val="0"/>
      <w:marTop w:val="0"/>
      <w:marBottom w:val="0"/>
      <w:divBdr>
        <w:top w:val="none" w:sz="0" w:space="0" w:color="auto"/>
        <w:left w:val="none" w:sz="0" w:space="0" w:color="auto"/>
        <w:bottom w:val="none" w:sz="0" w:space="0" w:color="auto"/>
        <w:right w:val="none" w:sz="0" w:space="0" w:color="auto"/>
      </w:divBdr>
    </w:div>
    <w:div w:id="1152335405">
      <w:bodyDiv w:val="1"/>
      <w:marLeft w:val="0"/>
      <w:marRight w:val="0"/>
      <w:marTop w:val="0"/>
      <w:marBottom w:val="0"/>
      <w:divBdr>
        <w:top w:val="none" w:sz="0" w:space="0" w:color="auto"/>
        <w:left w:val="none" w:sz="0" w:space="0" w:color="auto"/>
        <w:bottom w:val="none" w:sz="0" w:space="0" w:color="auto"/>
        <w:right w:val="none" w:sz="0" w:space="0" w:color="auto"/>
      </w:divBdr>
    </w:div>
    <w:div w:id="1196384439">
      <w:bodyDiv w:val="1"/>
      <w:marLeft w:val="0"/>
      <w:marRight w:val="0"/>
      <w:marTop w:val="0"/>
      <w:marBottom w:val="0"/>
      <w:divBdr>
        <w:top w:val="none" w:sz="0" w:space="0" w:color="auto"/>
        <w:left w:val="none" w:sz="0" w:space="0" w:color="auto"/>
        <w:bottom w:val="none" w:sz="0" w:space="0" w:color="auto"/>
        <w:right w:val="none" w:sz="0" w:space="0" w:color="auto"/>
      </w:divBdr>
    </w:div>
    <w:div w:id="1221286353">
      <w:bodyDiv w:val="1"/>
      <w:marLeft w:val="0"/>
      <w:marRight w:val="0"/>
      <w:marTop w:val="0"/>
      <w:marBottom w:val="0"/>
      <w:divBdr>
        <w:top w:val="none" w:sz="0" w:space="0" w:color="auto"/>
        <w:left w:val="none" w:sz="0" w:space="0" w:color="auto"/>
        <w:bottom w:val="none" w:sz="0" w:space="0" w:color="auto"/>
        <w:right w:val="none" w:sz="0" w:space="0" w:color="auto"/>
      </w:divBdr>
    </w:div>
    <w:div w:id="1231497876">
      <w:bodyDiv w:val="1"/>
      <w:marLeft w:val="0"/>
      <w:marRight w:val="0"/>
      <w:marTop w:val="0"/>
      <w:marBottom w:val="0"/>
      <w:divBdr>
        <w:top w:val="none" w:sz="0" w:space="0" w:color="auto"/>
        <w:left w:val="none" w:sz="0" w:space="0" w:color="auto"/>
        <w:bottom w:val="none" w:sz="0" w:space="0" w:color="auto"/>
        <w:right w:val="none" w:sz="0" w:space="0" w:color="auto"/>
      </w:divBdr>
    </w:div>
    <w:div w:id="1231890719">
      <w:bodyDiv w:val="1"/>
      <w:marLeft w:val="0"/>
      <w:marRight w:val="0"/>
      <w:marTop w:val="0"/>
      <w:marBottom w:val="0"/>
      <w:divBdr>
        <w:top w:val="none" w:sz="0" w:space="0" w:color="auto"/>
        <w:left w:val="none" w:sz="0" w:space="0" w:color="auto"/>
        <w:bottom w:val="none" w:sz="0" w:space="0" w:color="auto"/>
        <w:right w:val="none" w:sz="0" w:space="0" w:color="auto"/>
      </w:divBdr>
    </w:div>
    <w:div w:id="1257329918">
      <w:bodyDiv w:val="1"/>
      <w:marLeft w:val="0"/>
      <w:marRight w:val="0"/>
      <w:marTop w:val="0"/>
      <w:marBottom w:val="0"/>
      <w:divBdr>
        <w:top w:val="none" w:sz="0" w:space="0" w:color="auto"/>
        <w:left w:val="none" w:sz="0" w:space="0" w:color="auto"/>
        <w:bottom w:val="none" w:sz="0" w:space="0" w:color="auto"/>
        <w:right w:val="none" w:sz="0" w:space="0" w:color="auto"/>
      </w:divBdr>
    </w:div>
    <w:div w:id="1262682576">
      <w:bodyDiv w:val="1"/>
      <w:marLeft w:val="0"/>
      <w:marRight w:val="0"/>
      <w:marTop w:val="0"/>
      <w:marBottom w:val="0"/>
      <w:divBdr>
        <w:top w:val="none" w:sz="0" w:space="0" w:color="auto"/>
        <w:left w:val="none" w:sz="0" w:space="0" w:color="auto"/>
        <w:bottom w:val="none" w:sz="0" w:space="0" w:color="auto"/>
        <w:right w:val="none" w:sz="0" w:space="0" w:color="auto"/>
      </w:divBdr>
    </w:div>
    <w:div w:id="1263806103">
      <w:bodyDiv w:val="1"/>
      <w:marLeft w:val="0"/>
      <w:marRight w:val="0"/>
      <w:marTop w:val="0"/>
      <w:marBottom w:val="0"/>
      <w:divBdr>
        <w:top w:val="none" w:sz="0" w:space="0" w:color="auto"/>
        <w:left w:val="none" w:sz="0" w:space="0" w:color="auto"/>
        <w:bottom w:val="none" w:sz="0" w:space="0" w:color="auto"/>
        <w:right w:val="none" w:sz="0" w:space="0" w:color="auto"/>
      </w:divBdr>
    </w:div>
    <w:div w:id="1281834858">
      <w:bodyDiv w:val="1"/>
      <w:marLeft w:val="0"/>
      <w:marRight w:val="0"/>
      <w:marTop w:val="0"/>
      <w:marBottom w:val="0"/>
      <w:divBdr>
        <w:top w:val="none" w:sz="0" w:space="0" w:color="auto"/>
        <w:left w:val="none" w:sz="0" w:space="0" w:color="auto"/>
        <w:bottom w:val="none" w:sz="0" w:space="0" w:color="auto"/>
        <w:right w:val="none" w:sz="0" w:space="0" w:color="auto"/>
      </w:divBdr>
    </w:div>
    <w:div w:id="1286619974">
      <w:bodyDiv w:val="1"/>
      <w:marLeft w:val="0"/>
      <w:marRight w:val="0"/>
      <w:marTop w:val="0"/>
      <w:marBottom w:val="0"/>
      <w:divBdr>
        <w:top w:val="none" w:sz="0" w:space="0" w:color="auto"/>
        <w:left w:val="none" w:sz="0" w:space="0" w:color="auto"/>
        <w:bottom w:val="none" w:sz="0" w:space="0" w:color="auto"/>
        <w:right w:val="none" w:sz="0" w:space="0" w:color="auto"/>
      </w:divBdr>
    </w:div>
    <w:div w:id="1293511677">
      <w:bodyDiv w:val="1"/>
      <w:marLeft w:val="0"/>
      <w:marRight w:val="0"/>
      <w:marTop w:val="0"/>
      <w:marBottom w:val="0"/>
      <w:divBdr>
        <w:top w:val="none" w:sz="0" w:space="0" w:color="auto"/>
        <w:left w:val="none" w:sz="0" w:space="0" w:color="auto"/>
        <w:bottom w:val="none" w:sz="0" w:space="0" w:color="auto"/>
        <w:right w:val="none" w:sz="0" w:space="0" w:color="auto"/>
      </w:divBdr>
    </w:div>
    <w:div w:id="1298950119">
      <w:bodyDiv w:val="1"/>
      <w:marLeft w:val="0"/>
      <w:marRight w:val="0"/>
      <w:marTop w:val="0"/>
      <w:marBottom w:val="0"/>
      <w:divBdr>
        <w:top w:val="none" w:sz="0" w:space="0" w:color="auto"/>
        <w:left w:val="none" w:sz="0" w:space="0" w:color="auto"/>
        <w:bottom w:val="none" w:sz="0" w:space="0" w:color="auto"/>
        <w:right w:val="none" w:sz="0" w:space="0" w:color="auto"/>
      </w:divBdr>
    </w:div>
    <w:div w:id="1305820194">
      <w:bodyDiv w:val="1"/>
      <w:marLeft w:val="0"/>
      <w:marRight w:val="0"/>
      <w:marTop w:val="0"/>
      <w:marBottom w:val="0"/>
      <w:divBdr>
        <w:top w:val="none" w:sz="0" w:space="0" w:color="auto"/>
        <w:left w:val="none" w:sz="0" w:space="0" w:color="auto"/>
        <w:bottom w:val="none" w:sz="0" w:space="0" w:color="auto"/>
        <w:right w:val="none" w:sz="0" w:space="0" w:color="auto"/>
      </w:divBdr>
    </w:div>
    <w:div w:id="1311211274">
      <w:bodyDiv w:val="1"/>
      <w:marLeft w:val="0"/>
      <w:marRight w:val="0"/>
      <w:marTop w:val="0"/>
      <w:marBottom w:val="0"/>
      <w:divBdr>
        <w:top w:val="none" w:sz="0" w:space="0" w:color="auto"/>
        <w:left w:val="none" w:sz="0" w:space="0" w:color="auto"/>
        <w:bottom w:val="none" w:sz="0" w:space="0" w:color="auto"/>
        <w:right w:val="none" w:sz="0" w:space="0" w:color="auto"/>
      </w:divBdr>
    </w:div>
    <w:div w:id="1332490925">
      <w:bodyDiv w:val="1"/>
      <w:marLeft w:val="0"/>
      <w:marRight w:val="0"/>
      <w:marTop w:val="0"/>
      <w:marBottom w:val="0"/>
      <w:divBdr>
        <w:top w:val="none" w:sz="0" w:space="0" w:color="auto"/>
        <w:left w:val="none" w:sz="0" w:space="0" w:color="auto"/>
        <w:bottom w:val="none" w:sz="0" w:space="0" w:color="auto"/>
        <w:right w:val="none" w:sz="0" w:space="0" w:color="auto"/>
      </w:divBdr>
    </w:div>
    <w:div w:id="1359507223">
      <w:bodyDiv w:val="1"/>
      <w:marLeft w:val="0"/>
      <w:marRight w:val="0"/>
      <w:marTop w:val="0"/>
      <w:marBottom w:val="0"/>
      <w:divBdr>
        <w:top w:val="none" w:sz="0" w:space="0" w:color="auto"/>
        <w:left w:val="none" w:sz="0" w:space="0" w:color="auto"/>
        <w:bottom w:val="none" w:sz="0" w:space="0" w:color="auto"/>
        <w:right w:val="none" w:sz="0" w:space="0" w:color="auto"/>
      </w:divBdr>
    </w:div>
    <w:div w:id="1367490400">
      <w:bodyDiv w:val="1"/>
      <w:marLeft w:val="0"/>
      <w:marRight w:val="0"/>
      <w:marTop w:val="0"/>
      <w:marBottom w:val="0"/>
      <w:divBdr>
        <w:top w:val="none" w:sz="0" w:space="0" w:color="auto"/>
        <w:left w:val="none" w:sz="0" w:space="0" w:color="auto"/>
        <w:bottom w:val="none" w:sz="0" w:space="0" w:color="auto"/>
        <w:right w:val="none" w:sz="0" w:space="0" w:color="auto"/>
      </w:divBdr>
    </w:div>
    <w:div w:id="1368214944">
      <w:bodyDiv w:val="1"/>
      <w:marLeft w:val="0"/>
      <w:marRight w:val="0"/>
      <w:marTop w:val="0"/>
      <w:marBottom w:val="0"/>
      <w:divBdr>
        <w:top w:val="none" w:sz="0" w:space="0" w:color="auto"/>
        <w:left w:val="none" w:sz="0" w:space="0" w:color="auto"/>
        <w:bottom w:val="none" w:sz="0" w:space="0" w:color="auto"/>
        <w:right w:val="none" w:sz="0" w:space="0" w:color="auto"/>
      </w:divBdr>
    </w:div>
    <w:div w:id="1410884304">
      <w:bodyDiv w:val="1"/>
      <w:marLeft w:val="0"/>
      <w:marRight w:val="0"/>
      <w:marTop w:val="0"/>
      <w:marBottom w:val="0"/>
      <w:divBdr>
        <w:top w:val="none" w:sz="0" w:space="0" w:color="auto"/>
        <w:left w:val="none" w:sz="0" w:space="0" w:color="auto"/>
        <w:bottom w:val="none" w:sz="0" w:space="0" w:color="auto"/>
        <w:right w:val="none" w:sz="0" w:space="0" w:color="auto"/>
      </w:divBdr>
    </w:div>
    <w:div w:id="1423531459">
      <w:bodyDiv w:val="1"/>
      <w:marLeft w:val="0"/>
      <w:marRight w:val="0"/>
      <w:marTop w:val="0"/>
      <w:marBottom w:val="0"/>
      <w:divBdr>
        <w:top w:val="none" w:sz="0" w:space="0" w:color="auto"/>
        <w:left w:val="none" w:sz="0" w:space="0" w:color="auto"/>
        <w:bottom w:val="none" w:sz="0" w:space="0" w:color="auto"/>
        <w:right w:val="none" w:sz="0" w:space="0" w:color="auto"/>
      </w:divBdr>
    </w:div>
    <w:div w:id="1434276669">
      <w:bodyDiv w:val="1"/>
      <w:marLeft w:val="0"/>
      <w:marRight w:val="0"/>
      <w:marTop w:val="0"/>
      <w:marBottom w:val="0"/>
      <w:divBdr>
        <w:top w:val="none" w:sz="0" w:space="0" w:color="auto"/>
        <w:left w:val="none" w:sz="0" w:space="0" w:color="auto"/>
        <w:bottom w:val="none" w:sz="0" w:space="0" w:color="auto"/>
        <w:right w:val="none" w:sz="0" w:space="0" w:color="auto"/>
      </w:divBdr>
    </w:div>
    <w:div w:id="1455096195">
      <w:bodyDiv w:val="1"/>
      <w:marLeft w:val="0"/>
      <w:marRight w:val="0"/>
      <w:marTop w:val="0"/>
      <w:marBottom w:val="0"/>
      <w:divBdr>
        <w:top w:val="none" w:sz="0" w:space="0" w:color="auto"/>
        <w:left w:val="none" w:sz="0" w:space="0" w:color="auto"/>
        <w:bottom w:val="none" w:sz="0" w:space="0" w:color="auto"/>
        <w:right w:val="none" w:sz="0" w:space="0" w:color="auto"/>
      </w:divBdr>
    </w:div>
    <w:div w:id="1479494662">
      <w:bodyDiv w:val="1"/>
      <w:marLeft w:val="0"/>
      <w:marRight w:val="0"/>
      <w:marTop w:val="0"/>
      <w:marBottom w:val="0"/>
      <w:divBdr>
        <w:top w:val="none" w:sz="0" w:space="0" w:color="auto"/>
        <w:left w:val="none" w:sz="0" w:space="0" w:color="auto"/>
        <w:bottom w:val="none" w:sz="0" w:space="0" w:color="auto"/>
        <w:right w:val="none" w:sz="0" w:space="0" w:color="auto"/>
      </w:divBdr>
    </w:div>
    <w:div w:id="1480541223">
      <w:bodyDiv w:val="1"/>
      <w:marLeft w:val="0"/>
      <w:marRight w:val="0"/>
      <w:marTop w:val="0"/>
      <w:marBottom w:val="0"/>
      <w:divBdr>
        <w:top w:val="none" w:sz="0" w:space="0" w:color="auto"/>
        <w:left w:val="none" w:sz="0" w:space="0" w:color="auto"/>
        <w:bottom w:val="none" w:sz="0" w:space="0" w:color="auto"/>
        <w:right w:val="none" w:sz="0" w:space="0" w:color="auto"/>
      </w:divBdr>
    </w:div>
    <w:div w:id="1487088480">
      <w:bodyDiv w:val="1"/>
      <w:marLeft w:val="0"/>
      <w:marRight w:val="0"/>
      <w:marTop w:val="0"/>
      <w:marBottom w:val="0"/>
      <w:divBdr>
        <w:top w:val="none" w:sz="0" w:space="0" w:color="auto"/>
        <w:left w:val="none" w:sz="0" w:space="0" w:color="auto"/>
        <w:bottom w:val="none" w:sz="0" w:space="0" w:color="auto"/>
        <w:right w:val="none" w:sz="0" w:space="0" w:color="auto"/>
      </w:divBdr>
    </w:div>
    <w:div w:id="1496073393">
      <w:bodyDiv w:val="1"/>
      <w:marLeft w:val="0"/>
      <w:marRight w:val="0"/>
      <w:marTop w:val="0"/>
      <w:marBottom w:val="0"/>
      <w:divBdr>
        <w:top w:val="none" w:sz="0" w:space="0" w:color="auto"/>
        <w:left w:val="none" w:sz="0" w:space="0" w:color="auto"/>
        <w:bottom w:val="none" w:sz="0" w:space="0" w:color="auto"/>
        <w:right w:val="none" w:sz="0" w:space="0" w:color="auto"/>
      </w:divBdr>
    </w:div>
    <w:div w:id="1497261538">
      <w:bodyDiv w:val="1"/>
      <w:marLeft w:val="0"/>
      <w:marRight w:val="0"/>
      <w:marTop w:val="0"/>
      <w:marBottom w:val="0"/>
      <w:divBdr>
        <w:top w:val="none" w:sz="0" w:space="0" w:color="auto"/>
        <w:left w:val="none" w:sz="0" w:space="0" w:color="auto"/>
        <w:bottom w:val="none" w:sz="0" w:space="0" w:color="auto"/>
        <w:right w:val="none" w:sz="0" w:space="0" w:color="auto"/>
      </w:divBdr>
    </w:div>
    <w:div w:id="1513953225">
      <w:bodyDiv w:val="1"/>
      <w:marLeft w:val="0"/>
      <w:marRight w:val="0"/>
      <w:marTop w:val="0"/>
      <w:marBottom w:val="0"/>
      <w:divBdr>
        <w:top w:val="none" w:sz="0" w:space="0" w:color="auto"/>
        <w:left w:val="none" w:sz="0" w:space="0" w:color="auto"/>
        <w:bottom w:val="none" w:sz="0" w:space="0" w:color="auto"/>
        <w:right w:val="none" w:sz="0" w:space="0" w:color="auto"/>
      </w:divBdr>
    </w:div>
    <w:div w:id="1520898515">
      <w:bodyDiv w:val="1"/>
      <w:marLeft w:val="0"/>
      <w:marRight w:val="0"/>
      <w:marTop w:val="0"/>
      <w:marBottom w:val="0"/>
      <w:divBdr>
        <w:top w:val="none" w:sz="0" w:space="0" w:color="auto"/>
        <w:left w:val="none" w:sz="0" w:space="0" w:color="auto"/>
        <w:bottom w:val="none" w:sz="0" w:space="0" w:color="auto"/>
        <w:right w:val="none" w:sz="0" w:space="0" w:color="auto"/>
      </w:divBdr>
    </w:div>
    <w:div w:id="1527794680">
      <w:bodyDiv w:val="1"/>
      <w:marLeft w:val="0"/>
      <w:marRight w:val="0"/>
      <w:marTop w:val="0"/>
      <w:marBottom w:val="0"/>
      <w:divBdr>
        <w:top w:val="none" w:sz="0" w:space="0" w:color="auto"/>
        <w:left w:val="none" w:sz="0" w:space="0" w:color="auto"/>
        <w:bottom w:val="none" w:sz="0" w:space="0" w:color="auto"/>
        <w:right w:val="none" w:sz="0" w:space="0" w:color="auto"/>
      </w:divBdr>
    </w:div>
    <w:div w:id="1554462640">
      <w:bodyDiv w:val="1"/>
      <w:marLeft w:val="0"/>
      <w:marRight w:val="0"/>
      <w:marTop w:val="0"/>
      <w:marBottom w:val="0"/>
      <w:divBdr>
        <w:top w:val="none" w:sz="0" w:space="0" w:color="auto"/>
        <w:left w:val="none" w:sz="0" w:space="0" w:color="auto"/>
        <w:bottom w:val="none" w:sz="0" w:space="0" w:color="auto"/>
        <w:right w:val="none" w:sz="0" w:space="0" w:color="auto"/>
      </w:divBdr>
    </w:div>
    <w:div w:id="1556047349">
      <w:bodyDiv w:val="1"/>
      <w:marLeft w:val="0"/>
      <w:marRight w:val="0"/>
      <w:marTop w:val="0"/>
      <w:marBottom w:val="0"/>
      <w:divBdr>
        <w:top w:val="none" w:sz="0" w:space="0" w:color="auto"/>
        <w:left w:val="none" w:sz="0" w:space="0" w:color="auto"/>
        <w:bottom w:val="none" w:sz="0" w:space="0" w:color="auto"/>
        <w:right w:val="none" w:sz="0" w:space="0" w:color="auto"/>
      </w:divBdr>
    </w:div>
    <w:div w:id="1558511733">
      <w:bodyDiv w:val="1"/>
      <w:marLeft w:val="0"/>
      <w:marRight w:val="0"/>
      <w:marTop w:val="0"/>
      <w:marBottom w:val="0"/>
      <w:divBdr>
        <w:top w:val="none" w:sz="0" w:space="0" w:color="auto"/>
        <w:left w:val="none" w:sz="0" w:space="0" w:color="auto"/>
        <w:bottom w:val="none" w:sz="0" w:space="0" w:color="auto"/>
        <w:right w:val="none" w:sz="0" w:space="0" w:color="auto"/>
      </w:divBdr>
    </w:div>
    <w:div w:id="1618759249">
      <w:bodyDiv w:val="1"/>
      <w:marLeft w:val="0"/>
      <w:marRight w:val="0"/>
      <w:marTop w:val="0"/>
      <w:marBottom w:val="0"/>
      <w:divBdr>
        <w:top w:val="none" w:sz="0" w:space="0" w:color="auto"/>
        <w:left w:val="none" w:sz="0" w:space="0" w:color="auto"/>
        <w:bottom w:val="none" w:sz="0" w:space="0" w:color="auto"/>
        <w:right w:val="none" w:sz="0" w:space="0" w:color="auto"/>
      </w:divBdr>
    </w:div>
    <w:div w:id="1628008369">
      <w:bodyDiv w:val="1"/>
      <w:marLeft w:val="0"/>
      <w:marRight w:val="0"/>
      <w:marTop w:val="0"/>
      <w:marBottom w:val="0"/>
      <w:divBdr>
        <w:top w:val="none" w:sz="0" w:space="0" w:color="auto"/>
        <w:left w:val="none" w:sz="0" w:space="0" w:color="auto"/>
        <w:bottom w:val="none" w:sz="0" w:space="0" w:color="auto"/>
        <w:right w:val="none" w:sz="0" w:space="0" w:color="auto"/>
      </w:divBdr>
    </w:div>
    <w:div w:id="1632519513">
      <w:bodyDiv w:val="1"/>
      <w:marLeft w:val="0"/>
      <w:marRight w:val="0"/>
      <w:marTop w:val="0"/>
      <w:marBottom w:val="0"/>
      <w:divBdr>
        <w:top w:val="none" w:sz="0" w:space="0" w:color="auto"/>
        <w:left w:val="none" w:sz="0" w:space="0" w:color="auto"/>
        <w:bottom w:val="none" w:sz="0" w:space="0" w:color="auto"/>
        <w:right w:val="none" w:sz="0" w:space="0" w:color="auto"/>
      </w:divBdr>
    </w:div>
    <w:div w:id="1635212085">
      <w:bodyDiv w:val="1"/>
      <w:marLeft w:val="0"/>
      <w:marRight w:val="0"/>
      <w:marTop w:val="0"/>
      <w:marBottom w:val="0"/>
      <w:divBdr>
        <w:top w:val="none" w:sz="0" w:space="0" w:color="auto"/>
        <w:left w:val="none" w:sz="0" w:space="0" w:color="auto"/>
        <w:bottom w:val="none" w:sz="0" w:space="0" w:color="auto"/>
        <w:right w:val="none" w:sz="0" w:space="0" w:color="auto"/>
      </w:divBdr>
    </w:div>
    <w:div w:id="1647934418">
      <w:bodyDiv w:val="1"/>
      <w:marLeft w:val="0"/>
      <w:marRight w:val="0"/>
      <w:marTop w:val="0"/>
      <w:marBottom w:val="0"/>
      <w:divBdr>
        <w:top w:val="none" w:sz="0" w:space="0" w:color="auto"/>
        <w:left w:val="none" w:sz="0" w:space="0" w:color="auto"/>
        <w:bottom w:val="none" w:sz="0" w:space="0" w:color="auto"/>
        <w:right w:val="none" w:sz="0" w:space="0" w:color="auto"/>
      </w:divBdr>
    </w:div>
    <w:div w:id="1667973345">
      <w:bodyDiv w:val="1"/>
      <w:marLeft w:val="0"/>
      <w:marRight w:val="0"/>
      <w:marTop w:val="0"/>
      <w:marBottom w:val="0"/>
      <w:divBdr>
        <w:top w:val="none" w:sz="0" w:space="0" w:color="auto"/>
        <w:left w:val="none" w:sz="0" w:space="0" w:color="auto"/>
        <w:bottom w:val="none" w:sz="0" w:space="0" w:color="auto"/>
        <w:right w:val="none" w:sz="0" w:space="0" w:color="auto"/>
      </w:divBdr>
    </w:div>
    <w:div w:id="1693458160">
      <w:bodyDiv w:val="1"/>
      <w:marLeft w:val="0"/>
      <w:marRight w:val="0"/>
      <w:marTop w:val="0"/>
      <w:marBottom w:val="0"/>
      <w:divBdr>
        <w:top w:val="none" w:sz="0" w:space="0" w:color="auto"/>
        <w:left w:val="none" w:sz="0" w:space="0" w:color="auto"/>
        <w:bottom w:val="none" w:sz="0" w:space="0" w:color="auto"/>
        <w:right w:val="none" w:sz="0" w:space="0" w:color="auto"/>
      </w:divBdr>
    </w:div>
    <w:div w:id="1696348066">
      <w:bodyDiv w:val="1"/>
      <w:marLeft w:val="0"/>
      <w:marRight w:val="0"/>
      <w:marTop w:val="0"/>
      <w:marBottom w:val="0"/>
      <w:divBdr>
        <w:top w:val="none" w:sz="0" w:space="0" w:color="auto"/>
        <w:left w:val="none" w:sz="0" w:space="0" w:color="auto"/>
        <w:bottom w:val="none" w:sz="0" w:space="0" w:color="auto"/>
        <w:right w:val="none" w:sz="0" w:space="0" w:color="auto"/>
      </w:divBdr>
    </w:div>
    <w:div w:id="1697920793">
      <w:bodyDiv w:val="1"/>
      <w:marLeft w:val="0"/>
      <w:marRight w:val="0"/>
      <w:marTop w:val="0"/>
      <w:marBottom w:val="0"/>
      <w:divBdr>
        <w:top w:val="none" w:sz="0" w:space="0" w:color="auto"/>
        <w:left w:val="none" w:sz="0" w:space="0" w:color="auto"/>
        <w:bottom w:val="none" w:sz="0" w:space="0" w:color="auto"/>
        <w:right w:val="none" w:sz="0" w:space="0" w:color="auto"/>
      </w:divBdr>
    </w:div>
    <w:div w:id="1707297062">
      <w:bodyDiv w:val="1"/>
      <w:marLeft w:val="0"/>
      <w:marRight w:val="0"/>
      <w:marTop w:val="0"/>
      <w:marBottom w:val="0"/>
      <w:divBdr>
        <w:top w:val="none" w:sz="0" w:space="0" w:color="auto"/>
        <w:left w:val="none" w:sz="0" w:space="0" w:color="auto"/>
        <w:bottom w:val="none" w:sz="0" w:space="0" w:color="auto"/>
        <w:right w:val="none" w:sz="0" w:space="0" w:color="auto"/>
      </w:divBdr>
    </w:div>
    <w:div w:id="1725106945">
      <w:bodyDiv w:val="1"/>
      <w:marLeft w:val="0"/>
      <w:marRight w:val="0"/>
      <w:marTop w:val="0"/>
      <w:marBottom w:val="0"/>
      <w:divBdr>
        <w:top w:val="none" w:sz="0" w:space="0" w:color="auto"/>
        <w:left w:val="none" w:sz="0" w:space="0" w:color="auto"/>
        <w:bottom w:val="none" w:sz="0" w:space="0" w:color="auto"/>
        <w:right w:val="none" w:sz="0" w:space="0" w:color="auto"/>
      </w:divBdr>
    </w:div>
    <w:div w:id="1728066033">
      <w:bodyDiv w:val="1"/>
      <w:marLeft w:val="0"/>
      <w:marRight w:val="0"/>
      <w:marTop w:val="0"/>
      <w:marBottom w:val="0"/>
      <w:divBdr>
        <w:top w:val="none" w:sz="0" w:space="0" w:color="auto"/>
        <w:left w:val="none" w:sz="0" w:space="0" w:color="auto"/>
        <w:bottom w:val="none" w:sz="0" w:space="0" w:color="auto"/>
        <w:right w:val="none" w:sz="0" w:space="0" w:color="auto"/>
      </w:divBdr>
    </w:div>
    <w:div w:id="1731078291">
      <w:bodyDiv w:val="1"/>
      <w:marLeft w:val="0"/>
      <w:marRight w:val="0"/>
      <w:marTop w:val="0"/>
      <w:marBottom w:val="0"/>
      <w:divBdr>
        <w:top w:val="none" w:sz="0" w:space="0" w:color="auto"/>
        <w:left w:val="none" w:sz="0" w:space="0" w:color="auto"/>
        <w:bottom w:val="none" w:sz="0" w:space="0" w:color="auto"/>
        <w:right w:val="none" w:sz="0" w:space="0" w:color="auto"/>
      </w:divBdr>
    </w:div>
    <w:div w:id="1737901444">
      <w:bodyDiv w:val="1"/>
      <w:marLeft w:val="0"/>
      <w:marRight w:val="0"/>
      <w:marTop w:val="0"/>
      <w:marBottom w:val="0"/>
      <w:divBdr>
        <w:top w:val="none" w:sz="0" w:space="0" w:color="auto"/>
        <w:left w:val="none" w:sz="0" w:space="0" w:color="auto"/>
        <w:bottom w:val="none" w:sz="0" w:space="0" w:color="auto"/>
        <w:right w:val="none" w:sz="0" w:space="0" w:color="auto"/>
      </w:divBdr>
    </w:div>
    <w:div w:id="1766147547">
      <w:bodyDiv w:val="1"/>
      <w:marLeft w:val="0"/>
      <w:marRight w:val="0"/>
      <w:marTop w:val="0"/>
      <w:marBottom w:val="0"/>
      <w:divBdr>
        <w:top w:val="none" w:sz="0" w:space="0" w:color="auto"/>
        <w:left w:val="none" w:sz="0" w:space="0" w:color="auto"/>
        <w:bottom w:val="none" w:sz="0" w:space="0" w:color="auto"/>
        <w:right w:val="none" w:sz="0" w:space="0" w:color="auto"/>
      </w:divBdr>
    </w:div>
    <w:div w:id="1766995112">
      <w:bodyDiv w:val="1"/>
      <w:marLeft w:val="0"/>
      <w:marRight w:val="0"/>
      <w:marTop w:val="0"/>
      <w:marBottom w:val="0"/>
      <w:divBdr>
        <w:top w:val="none" w:sz="0" w:space="0" w:color="auto"/>
        <w:left w:val="none" w:sz="0" w:space="0" w:color="auto"/>
        <w:bottom w:val="none" w:sz="0" w:space="0" w:color="auto"/>
        <w:right w:val="none" w:sz="0" w:space="0" w:color="auto"/>
      </w:divBdr>
    </w:div>
    <w:div w:id="1774089237">
      <w:bodyDiv w:val="1"/>
      <w:marLeft w:val="0"/>
      <w:marRight w:val="0"/>
      <w:marTop w:val="0"/>
      <w:marBottom w:val="0"/>
      <w:divBdr>
        <w:top w:val="none" w:sz="0" w:space="0" w:color="auto"/>
        <w:left w:val="none" w:sz="0" w:space="0" w:color="auto"/>
        <w:bottom w:val="none" w:sz="0" w:space="0" w:color="auto"/>
        <w:right w:val="none" w:sz="0" w:space="0" w:color="auto"/>
      </w:divBdr>
    </w:div>
    <w:div w:id="1782991751">
      <w:bodyDiv w:val="1"/>
      <w:marLeft w:val="0"/>
      <w:marRight w:val="0"/>
      <w:marTop w:val="0"/>
      <w:marBottom w:val="0"/>
      <w:divBdr>
        <w:top w:val="none" w:sz="0" w:space="0" w:color="auto"/>
        <w:left w:val="none" w:sz="0" w:space="0" w:color="auto"/>
        <w:bottom w:val="none" w:sz="0" w:space="0" w:color="auto"/>
        <w:right w:val="none" w:sz="0" w:space="0" w:color="auto"/>
      </w:divBdr>
    </w:div>
    <w:div w:id="1792624913">
      <w:bodyDiv w:val="1"/>
      <w:marLeft w:val="0"/>
      <w:marRight w:val="0"/>
      <w:marTop w:val="0"/>
      <w:marBottom w:val="0"/>
      <w:divBdr>
        <w:top w:val="none" w:sz="0" w:space="0" w:color="auto"/>
        <w:left w:val="none" w:sz="0" w:space="0" w:color="auto"/>
        <w:bottom w:val="none" w:sz="0" w:space="0" w:color="auto"/>
        <w:right w:val="none" w:sz="0" w:space="0" w:color="auto"/>
      </w:divBdr>
    </w:div>
    <w:div w:id="1796824805">
      <w:bodyDiv w:val="1"/>
      <w:marLeft w:val="0"/>
      <w:marRight w:val="0"/>
      <w:marTop w:val="0"/>
      <w:marBottom w:val="0"/>
      <w:divBdr>
        <w:top w:val="none" w:sz="0" w:space="0" w:color="auto"/>
        <w:left w:val="none" w:sz="0" w:space="0" w:color="auto"/>
        <w:bottom w:val="none" w:sz="0" w:space="0" w:color="auto"/>
        <w:right w:val="none" w:sz="0" w:space="0" w:color="auto"/>
      </w:divBdr>
    </w:div>
    <w:div w:id="1817990498">
      <w:bodyDiv w:val="1"/>
      <w:marLeft w:val="0"/>
      <w:marRight w:val="0"/>
      <w:marTop w:val="0"/>
      <w:marBottom w:val="0"/>
      <w:divBdr>
        <w:top w:val="none" w:sz="0" w:space="0" w:color="auto"/>
        <w:left w:val="none" w:sz="0" w:space="0" w:color="auto"/>
        <w:bottom w:val="none" w:sz="0" w:space="0" w:color="auto"/>
        <w:right w:val="none" w:sz="0" w:space="0" w:color="auto"/>
      </w:divBdr>
    </w:div>
    <w:div w:id="1818456184">
      <w:bodyDiv w:val="1"/>
      <w:marLeft w:val="0"/>
      <w:marRight w:val="0"/>
      <w:marTop w:val="0"/>
      <w:marBottom w:val="0"/>
      <w:divBdr>
        <w:top w:val="none" w:sz="0" w:space="0" w:color="auto"/>
        <w:left w:val="none" w:sz="0" w:space="0" w:color="auto"/>
        <w:bottom w:val="none" w:sz="0" w:space="0" w:color="auto"/>
        <w:right w:val="none" w:sz="0" w:space="0" w:color="auto"/>
      </w:divBdr>
    </w:div>
    <w:div w:id="1821995237">
      <w:bodyDiv w:val="1"/>
      <w:marLeft w:val="0"/>
      <w:marRight w:val="0"/>
      <w:marTop w:val="0"/>
      <w:marBottom w:val="0"/>
      <w:divBdr>
        <w:top w:val="none" w:sz="0" w:space="0" w:color="auto"/>
        <w:left w:val="none" w:sz="0" w:space="0" w:color="auto"/>
        <w:bottom w:val="none" w:sz="0" w:space="0" w:color="auto"/>
        <w:right w:val="none" w:sz="0" w:space="0" w:color="auto"/>
      </w:divBdr>
    </w:div>
    <w:div w:id="1836413968">
      <w:bodyDiv w:val="1"/>
      <w:marLeft w:val="0"/>
      <w:marRight w:val="0"/>
      <w:marTop w:val="0"/>
      <w:marBottom w:val="0"/>
      <w:divBdr>
        <w:top w:val="none" w:sz="0" w:space="0" w:color="auto"/>
        <w:left w:val="none" w:sz="0" w:space="0" w:color="auto"/>
        <w:bottom w:val="none" w:sz="0" w:space="0" w:color="auto"/>
        <w:right w:val="none" w:sz="0" w:space="0" w:color="auto"/>
      </w:divBdr>
    </w:div>
    <w:div w:id="1839032699">
      <w:bodyDiv w:val="1"/>
      <w:marLeft w:val="0"/>
      <w:marRight w:val="0"/>
      <w:marTop w:val="0"/>
      <w:marBottom w:val="0"/>
      <w:divBdr>
        <w:top w:val="none" w:sz="0" w:space="0" w:color="auto"/>
        <w:left w:val="none" w:sz="0" w:space="0" w:color="auto"/>
        <w:bottom w:val="none" w:sz="0" w:space="0" w:color="auto"/>
        <w:right w:val="none" w:sz="0" w:space="0" w:color="auto"/>
      </w:divBdr>
    </w:div>
    <w:div w:id="1851211553">
      <w:bodyDiv w:val="1"/>
      <w:marLeft w:val="0"/>
      <w:marRight w:val="0"/>
      <w:marTop w:val="0"/>
      <w:marBottom w:val="0"/>
      <w:divBdr>
        <w:top w:val="none" w:sz="0" w:space="0" w:color="auto"/>
        <w:left w:val="none" w:sz="0" w:space="0" w:color="auto"/>
        <w:bottom w:val="none" w:sz="0" w:space="0" w:color="auto"/>
        <w:right w:val="none" w:sz="0" w:space="0" w:color="auto"/>
      </w:divBdr>
    </w:div>
    <w:div w:id="1867985466">
      <w:bodyDiv w:val="1"/>
      <w:marLeft w:val="0"/>
      <w:marRight w:val="0"/>
      <w:marTop w:val="0"/>
      <w:marBottom w:val="0"/>
      <w:divBdr>
        <w:top w:val="none" w:sz="0" w:space="0" w:color="auto"/>
        <w:left w:val="none" w:sz="0" w:space="0" w:color="auto"/>
        <w:bottom w:val="none" w:sz="0" w:space="0" w:color="auto"/>
        <w:right w:val="none" w:sz="0" w:space="0" w:color="auto"/>
      </w:divBdr>
    </w:div>
    <w:div w:id="1881555861">
      <w:bodyDiv w:val="1"/>
      <w:marLeft w:val="0"/>
      <w:marRight w:val="0"/>
      <w:marTop w:val="0"/>
      <w:marBottom w:val="0"/>
      <w:divBdr>
        <w:top w:val="none" w:sz="0" w:space="0" w:color="auto"/>
        <w:left w:val="none" w:sz="0" w:space="0" w:color="auto"/>
        <w:bottom w:val="none" w:sz="0" w:space="0" w:color="auto"/>
        <w:right w:val="none" w:sz="0" w:space="0" w:color="auto"/>
      </w:divBdr>
    </w:div>
    <w:div w:id="1891384851">
      <w:bodyDiv w:val="1"/>
      <w:marLeft w:val="0"/>
      <w:marRight w:val="0"/>
      <w:marTop w:val="0"/>
      <w:marBottom w:val="0"/>
      <w:divBdr>
        <w:top w:val="none" w:sz="0" w:space="0" w:color="auto"/>
        <w:left w:val="none" w:sz="0" w:space="0" w:color="auto"/>
        <w:bottom w:val="none" w:sz="0" w:space="0" w:color="auto"/>
        <w:right w:val="none" w:sz="0" w:space="0" w:color="auto"/>
      </w:divBdr>
    </w:div>
    <w:div w:id="1892577184">
      <w:bodyDiv w:val="1"/>
      <w:marLeft w:val="0"/>
      <w:marRight w:val="0"/>
      <w:marTop w:val="0"/>
      <w:marBottom w:val="0"/>
      <w:divBdr>
        <w:top w:val="none" w:sz="0" w:space="0" w:color="auto"/>
        <w:left w:val="none" w:sz="0" w:space="0" w:color="auto"/>
        <w:bottom w:val="none" w:sz="0" w:space="0" w:color="auto"/>
        <w:right w:val="none" w:sz="0" w:space="0" w:color="auto"/>
      </w:divBdr>
    </w:div>
    <w:div w:id="1896308759">
      <w:bodyDiv w:val="1"/>
      <w:marLeft w:val="0"/>
      <w:marRight w:val="0"/>
      <w:marTop w:val="0"/>
      <w:marBottom w:val="0"/>
      <w:divBdr>
        <w:top w:val="none" w:sz="0" w:space="0" w:color="auto"/>
        <w:left w:val="none" w:sz="0" w:space="0" w:color="auto"/>
        <w:bottom w:val="none" w:sz="0" w:space="0" w:color="auto"/>
        <w:right w:val="none" w:sz="0" w:space="0" w:color="auto"/>
      </w:divBdr>
    </w:div>
    <w:div w:id="1913268136">
      <w:bodyDiv w:val="1"/>
      <w:marLeft w:val="0"/>
      <w:marRight w:val="0"/>
      <w:marTop w:val="0"/>
      <w:marBottom w:val="0"/>
      <w:divBdr>
        <w:top w:val="none" w:sz="0" w:space="0" w:color="auto"/>
        <w:left w:val="none" w:sz="0" w:space="0" w:color="auto"/>
        <w:bottom w:val="none" w:sz="0" w:space="0" w:color="auto"/>
        <w:right w:val="none" w:sz="0" w:space="0" w:color="auto"/>
      </w:divBdr>
    </w:div>
    <w:div w:id="1921986572">
      <w:bodyDiv w:val="1"/>
      <w:marLeft w:val="0"/>
      <w:marRight w:val="0"/>
      <w:marTop w:val="0"/>
      <w:marBottom w:val="0"/>
      <w:divBdr>
        <w:top w:val="none" w:sz="0" w:space="0" w:color="auto"/>
        <w:left w:val="none" w:sz="0" w:space="0" w:color="auto"/>
        <w:bottom w:val="none" w:sz="0" w:space="0" w:color="auto"/>
        <w:right w:val="none" w:sz="0" w:space="0" w:color="auto"/>
      </w:divBdr>
    </w:div>
    <w:div w:id="1926106730">
      <w:bodyDiv w:val="1"/>
      <w:marLeft w:val="0"/>
      <w:marRight w:val="0"/>
      <w:marTop w:val="0"/>
      <w:marBottom w:val="0"/>
      <w:divBdr>
        <w:top w:val="none" w:sz="0" w:space="0" w:color="auto"/>
        <w:left w:val="none" w:sz="0" w:space="0" w:color="auto"/>
        <w:bottom w:val="none" w:sz="0" w:space="0" w:color="auto"/>
        <w:right w:val="none" w:sz="0" w:space="0" w:color="auto"/>
      </w:divBdr>
    </w:div>
    <w:div w:id="1941797827">
      <w:bodyDiv w:val="1"/>
      <w:marLeft w:val="0"/>
      <w:marRight w:val="0"/>
      <w:marTop w:val="0"/>
      <w:marBottom w:val="0"/>
      <w:divBdr>
        <w:top w:val="none" w:sz="0" w:space="0" w:color="auto"/>
        <w:left w:val="none" w:sz="0" w:space="0" w:color="auto"/>
        <w:bottom w:val="none" w:sz="0" w:space="0" w:color="auto"/>
        <w:right w:val="none" w:sz="0" w:space="0" w:color="auto"/>
      </w:divBdr>
    </w:div>
    <w:div w:id="1944798882">
      <w:bodyDiv w:val="1"/>
      <w:marLeft w:val="0"/>
      <w:marRight w:val="0"/>
      <w:marTop w:val="0"/>
      <w:marBottom w:val="0"/>
      <w:divBdr>
        <w:top w:val="none" w:sz="0" w:space="0" w:color="auto"/>
        <w:left w:val="none" w:sz="0" w:space="0" w:color="auto"/>
        <w:bottom w:val="none" w:sz="0" w:space="0" w:color="auto"/>
        <w:right w:val="none" w:sz="0" w:space="0" w:color="auto"/>
      </w:divBdr>
    </w:div>
    <w:div w:id="1983654537">
      <w:bodyDiv w:val="1"/>
      <w:marLeft w:val="0"/>
      <w:marRight w:val="0"/>
      <w:marTop w:val="0"/>
      <w:marBottom w:val="0"/>
      <w:divBdr>
        <w:top w:val="none" w:sz="0" w:space="0" w:color="auto"/>
        <w:left w:val="none" w:sz="0" w:space="0" w:color="auto"/>
        <w:bottom w:val="none" w:sz="0" w:space="0" w:color="auto"/>
        <w:right w:val="none" w:sz="0" w:space="0" w:color="auto"/>
      </w:divBdr>
    </w:div>
    <w:div w:id="1985237078">
      <w:bodyDiv w:val="1"/>
      <w:marLeft w:val="0"/>
      <w:marRight w:val="0"/>
      <w:marTop w:val="0"/>
      <w:marBottom w:val="0"/>
      <w:divBdr>
        <w:top w:val="none" w:sz="0" w:space="0" w:color="auto"/>
        <w:left w:val="none" w:sz="0" w:space="0" w:color="auto"/>
        <w:bottom w:val="none" w:sz="0" w:space="0" w:color="auto"/>
        <w:right w:val="none" w:sz="0" w:space="0" w:color="auto"/>
      </w:divBdr>
    </w:div>
    <w:div w:id="2057585219">
      <w:bodyDiv w:val="1"/>
      <w:marLeft w:val="0"/>
      <w:marRight w:val="0"/>
      <w:marTop w:val="0"/>
      <w:marBottom w:val="0"/>
      <w:divBdr>
        <w:top w:val="none" w:sz="0" w:space="0" w:color="auto"/>
        <w:left w:val="none" w:sz="0" w:space="0" w:color="auto"/>
        <w:bottom w:val="none" w:sz="0" w:space="0" w:color="auto"/>
        <w:right w:val="none" w:sz="0" w:space="0" w:color="auto"/>
      </w:divBdr>
    </w:div>
    <w:div w:id="2059157510">
      <w:bodyDiv w:val="1"/>
      <w:marLeft w:val="0"/>
      <w:marRight w:val="0"/>
      <w:marTop w:val="0"/>
      <w:marBottom w:val="0"/>
      <w:divBdr>
        <w:top w:val="none" w:sz="0" w:space="0" w:color="auto"/>
        <w:left w:val="none" w:sz="0" w:space="0" w:color="auto"/>
        <w:bottom w:val="none" w:sz="0" w:space="0" w:color="auto"/>
        <w:right w:val="none" w:sz="0" w:space="0" w:color="auto"/>
      </w:divBdr>
    </w:div>
    <w:div w:id="2064677292">
      <w:bodyDiv w:val="1"/>
      <w:marLeft w:val="0"/>
      <w:marRight w:val="0"/>
      <w:marTop w:val="0"/>
      <w:marBottom w:val="0"/>
      <w:divBdr>
        <w:top w:val="none" w:sz="0" w:space="0" w:color="auto"/>
        <w:left w:val="none" w:sz="0" w:space="0" w:color="auto"/>
        <w:bottom w:val="none" w:sz="0" w:space="0" w:color="auto"/>
        <w:right w:val="none" w:sz="0" w:space="0" w:color="auto"/>
      </w:divBdr>
    </w:div>
    <w:div w:id="2080710336">
      <w:bodyDiv w:val="1"/>
      <w:marLeft w:val="0"/>
      <w:marRight w:val="0"/>
      <w:marTop w:val="0"/>
      <w:marBottom w:val="0"/>
      <w:divBdr>
        <w:top w:val="none" w:sz="0" w:space="0" w:color="auto"/>
        <w:left w:val="none" w:sz="0" w:space="0" w:color="auto"/>
        <w:bottom w:val="none" w:sz="0" w:space="0" w:color="auto"/>
        <w:right w:val="none" w:sz="0" w:space="0" w:color="auto"/>
      </w:divBdr>
    </w:div>
    <w:div w:id="2099909218">
      <w:bodyDiv w:val="1"/>
      <w:marLeft w:val="0"/>
      <w:marRight w:val="0"/>
      <w:marTop w:val="0"/>
      <w:marBottom w:val="0"/>
      <w:divBdr>
        <w:top w:val="none" w:sz="0" w:space="0" w:color="auto"/>
        <w:left w:val="none" w:sz="0" w:space="0" w:color="auto"/>
        <w:bottom w:val="none" w:sz="0" w:space="0" w:color="auto"/>
        <w:right w:val="none" w:sz="0" w:space="0" w:color="auto"/>
      </w:divBdr>
    </w:div>
    <w:div w:id="2103791245">
      <w:bodyDiv w:val="1"/>
      <w:marLeft w:val="0"/>
      <w:marRight w:val="0"/>
      <w:marTop w:val="0"/>
      <w:marBottom w:val="0"/>
      <w:divBdr>
        <w:top w:val="none" w:sz="0" w:space="0" w:color="auto"/>
        <w:left w:val="none" w:sz="0" w:space="0" w:color="auto"/>
        <w:bottom w:val="none" w:sz="0" w:space="0" w:color="auto"/>
        <w:right w:val="none" w:sz="0" w:space="0" w:color="auto"/>
      </w:divBdr>
    </w:div>
    <w:div w:id="2123187635">
      <w:bodyDiv w:val="1"/>
      <w:marLeft w:val="0"/>
      <w:marRight w:val="0"/>
      <w:marTop w:val="0"/>
      <w:marBottom w:val="0"/>
      <w:divBdr>
        <w:top w:val="none" w:sz="0" w:space="0" w:color="auto"/>
        <w:left w:val="none" w:sz="0" w:space="0" w:color="auto"/>
        <w:bottom w:val="none" w:sz="0" w:space="0" w:color="auto"/>
        <w:right w:val="none" w:sz="0" w:space="0" w:color="auto"/>
      </w:divBdr>
    </w:div>
    <w:div w:id="2133403527">
      <w:bodyDiv w:val="1"/>
      <w:marLeft w:val="0"/>
      <w:marRight w:val="0"/>
      <w:marTop w:val="0"/>
      <w:marBottom w:val="0"/>
      <w:divBdr>
        <w:top w:val="none" w:sz="0" w:space="0" w:color="auto"/>
        <w:left w:val="none" w:sz="0" w:space="0" w:color="auto"/>
        <w:bottom w:val="none" w:sz="0" w:space="0" w:color="auto"/>
        <w:right w:val="none" w:sz="0" w:space="0" w:color="auto"/>
      </w:divBdr>
    </w:div>
    <w:div w:id="213721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chart" Target="charts/chart35.xml"/><Relationship Id="rId47" Type="http://schemas.openxmlformats.org/officeDocument/2006/relationships/chart" Target="charts/chart40.xml"/><Relationship Id="rId50" Type="http://schemas.openxmlformats.org/officeDocument/2006/relationships/chart" Target="charts/chart43.xm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chart" Target="charts/chart39.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41" Type="http://schemas.openxmlformats.org/officeDocument/2006/relationships/chart" Target="charts/chart34.xml"/><Relationship Id="rId54" Type="http://schemas.openxmlformats.org/officeDocument/2006/relationships/chart" Target="charts/chart4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45" Type="http://schemas.openxmlformats.org/officeDocument/2006/relationships/chart" Target="charts/chart38.xml"/><Relationship Id="rId53" Type="http://schemas.openxmlformats.org/officeDocument/2006/relationships/chart" Target="charts/chart46.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chart" Target="charts/chart42.xml"/><Relationship Id="rId57"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chart" Target="charts/chart37.xml"/><Relationship Id="rId52" Type="http://schemas.openxmlformats.org/officeDocument/2006/relationships/chart" Target="charts/chart45.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6.xml"/><Relationship Id="rId48" Type="http://schemas.openxmlformats.org/officeDocument/2006/relationships/chart" Target="charts/chart41.xml"/><Relationship Id="rId56" Type="http://schemas.openxmlformats.org/officeDocument/2006/relationships/header" Target="header2.xml"/><Relationship Id="rId8" Type="http://schemas.openxmlformats.org/officeDocument/2006/relationships/chart" Target="charts/chart1.xml"/><Relationship Id="rId51" Type="http://schemas.openxmlformats.org/officeDocument/2006/relationships/chart" Target="charts/chart44.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9.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0.xm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1.bin"/></Relationships>
</file>

<file path=word/charts/_rels/chart17.xml.rels><?xml version="1.0" encoding="UTF-8" standalone="yes"?>
<Relationships xmlns="http://schemas.openxmlformats.org/package/2006/relationships"><Relationship Id="rId2" Type="http://schemas.openxmlformats.org/officeDocument/2006/relationships/oleObject" Target="Chart%202%20in%20Microsoft%20Word" TargetMode="External"/><Relationship Id="rId1" Type="http://schemas.openxmlformats.org/officeDocument/2006/relationships/themeOverride" Target="../theme/themeOverride15.xm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2.bin"/></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3.bin"/></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4.bin"/></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9.xml"/></Relationships>
</file>

<file path=word/charts/_rels/chart22.xml.rels><?xml version="1.0" encoding="UTF-8" standalone="yes"?>
<Relationships xmlns="http://schemas.openxmlformats.org/package/2006/relationships"><Relationship Id="rId1" Type="http://schemas.openxmlformats.org/officeDocument/2006/relationships/oleObject" Target="file:///C:\Users\&#1043;&#1099;&#1091;&#1082;\MacroG%20Dropbox\Industrie\baze\2018\indicii_2018.xls"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1043;&#1099;&#1091;&#1082;\MacroG%20Dropbox\Industrie\baze\2018\indicii_2018.xls"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DROPBOX_MACRO_20.02.2019\Industrie\baze\2018\indicii_2018.xls"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1043;&#1099;&#1091;&#1082;\MacroG%20Dropbox\Investitii\baze\dinamica%20investitiilor%20active%20imobilizate%20(&#1040;&#1074;&#1090;&#1086;&#1089;&#1086;&#1093;&#1088;&#1072;&#1085;&#1077;&#1085;&#1085;&#1099;&#1081;).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1043;&#1099;&#1091;&#1082;\MacroG%20Dropbox\Investitii\baze\dinamica%20investitiilor%20active%20imobilizate%20(&#1040;&#1074;&#1090;&#1086;&#1089;&#1086;&#1093;&#1088;&#1072;&#1085;&#1077;&#1085;&#1085;&#1099;&#108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1043;&#1099;&#1091;&#1082;\MacroG%20Dropbox\Investitii\date\2018\tabele%20de%20lucru.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1043;&#1099;&#1091;&#1082;\MacroG%20Dropbox\Investitii\date\2018\tabele%20de%20lucru.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1043;&#1099;&#1091;&#1082;\MacroG%20Dropbox\Investitii\date\2018\tabele%20de%20lucru.xlsx"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1" Type="http://schemas.openxmlformats.org/officeDocument/2006/relationships/oleObject" Target="file:///C:\Users\&#1043;&#1099;&#1091;&#1082;\MacroG%20Dropbox\Investitii\date\2018\tabele%20de%20lucru.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DROPBOX_MACRO_20.02.2019\Transport\baza%20transport.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DROPBOX_MACRO_20.02.2019\Transport\baza%20transport.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DROPBOX_MACRO_20.02.2019\Transport\baza%20transport.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DROPBOX_MACRO_20.02.2019\Transport\baza%20transport.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DROPBOX_MACRO_20.02.2019\Comert%20intern\BAZA-comert-intern1.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DROPBOX_MACRO_20.02.2019\Comert%20intern\BAZA-comert-intern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DROPBOX_MACRO_20.02.2019\Comert%20intern\BAZA-comert-intern1.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DROPBOX_MACRO_20.02.2019\Comert%20intern\BAZA-comert-intern1.xlsx" TargetMode="External"/></Relationships>
</file>

<file path=word/charts/_rels/chart39.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20.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4.xlsx"/></Relationships>
</file>

<file path=word/charts/_rels/chart40.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21.xml"/></Relationships>
</file>

<file path=word/charts/_rels/chart41.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22.xml"/></Relationships>
</file>

<file path=word/charts/_rels/chart42.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23.xml"/></Relationships>
</file>

<file path=word/charts/_rels/chart43.xml.rels><?xml version="1.0" encoding="UTF-8" standalone="yes"?>
<Relationships xmlns="http://schemas.openxmlformats.org/package/2006/relationships"><Relationship Id="rId2" Type="http://schemas.openxmlformats.org/officeDocument/2006/relationships/package" Target="../embeddings/Microsoft_Excel_Worksheet21.xlsx"/><Relationship Id="rId1" Type="http://schemas.openxmlformats.org/officeDocument/2006/relationships/themeOverride" Target="../theme/themeOverride24.xml"/></Relationships>
</file>

<file path=word/charts/_rels/chart44.xml.rels><?xml version="1.0" encoding="UTF-8" standalone="yes"?>
<Relationships xmlns="http://schemas.openxmlformats.org/package/2006/relationships"><Relationship Id="rId2" Type="http://schemas.openxmlformats.org/officeDocument/2006/relationships/package" Target="../embeddings/Microsoft_Excel_Worksheet22.xlsx"/><Relationship Id="rId1" Type="http://schemas.openxmlformats.org/officeDocument/2006/relationships/themeOverride" Target="../theme/themeOverride25.xml"/></Relationships>
</file>

<file path=word/charts/_rels/chart45.xml.rels><?xml version="1.0" encoding="UTF-8" standalone="yes"?>
<Relationships xmlns="http://schemas.openxmlformats.org/package/2006/relationships"><Relationship Id="rId2" Type="http://schemas.openxmlformats.org/officeDocument/2006/relationships/package" Target="../embeddings/Microsoft_Excel_Worksheet23.xlsx"/><Relationship Id="rId1" Type="http://schemas.openxmlformats.org/officeDocument/2006/relationships/themeOverride" Target="../theme/themeOverride26.xml"/></Relationships>
</file>

<file path=word/charts/_rels/chart46.xml.rels><?xml version="1.0" encoding="UTF-8" standalone="yes"?>
<Relationships xmlns="http://schemas.openxmlformats.org/package/2006/relationships"><Relationship Id="rId2" Type="http://schemas.openxmlformats.org/officeDocument/2006/relationships/package" Target="../embeddings/Microsoft_Excel_Worksheet24.xlsx"/><Relationship Id="rId1" Type="http://schemas.openxmlformats.org/officeDocument/2006/relationships/themeOverride" Target="../theme/themeOverride27.xml"/></Relationships>
</file>

<file path=word/charts/_rels/chart47.xml.rels><?xml version="1.0" encoding="UTF-8" standalone="yes"?>
<Relationships xmlns="http://schemas.openxmlformats.org/package/2006/relationships"><Relationship Id="rId2" Type="http://schemas.openxmlformats.org/officeDocument/2006/relationships/package" Target="../embeddings/Microsoft_Excel_Worksheet25.xlsx"/><Relationship Id="rId1" Type="http://schemas.openxmlformats.org/officeDocument/2006/relationships/themeOverride" Target="../theme/themeOverride28.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2.xml"/><Relationship Id="rId1" Type="http://schemas.microsoft.com/office/2011/relationships/chartStyle" Target="style2.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4047919293820929E-2"/>
          <c:y val="4.6080590500900034E-2"/>
          <c:w val="0.96721311475409832"/>
          <c:h val="0.61788698826439803"/>
        </c:manualLayout>
      </c:layout>
      <c:lineChart>
        <c:grouping val="standard"/>
        <c:varyColors val="0"/>
        <c:ser>
          <c:idx val="0"/>
          <c:order val="0"/>
          <c:tx>
            <c:strRef>
              <c:f>Sheet1!$A$2</c:f>
              <c:strCache>
                <c:ptCount val="1"/>
                <c:pt idx="0">
                  <c:v>Rata inflației faţă de luna precedentă </c:v>
                </c:pt>
              </c:strCache>
            </c:strRef>
          </c:tx>
          <c:spPr>
            <a:ln w="19050" cap="rnd" cmpd="sng" algn="ctr">
              <a:solidFill>
                <a:schemeClr val="accent6"/>
              </a:solidFill>
              <a:prstDash val="solid"/>
              <a:round/>
            </a:ln>
            <a:effectLst/>
          </c:spPr>
          <c:marker>
            <c:symbol val="diamond"/>
            <c:size val="6"/>
            <c:spPr>
              <a:solidFill>
                <a:schemeClr val="accent6"/>
              </a:solidFill>
              <a:ln w="6350" cap="flat" cmpd="sng" algn="ctr">
                <a:solidFill>
                  <a:schemeClr val="accent6"/>
                </a:solidFill>
                <a:prstDash val="solid"/>
                <a:round/>
              </a:ln>
              <a:effectLst/>
            </c:spPr>
          </c:marker>
          <c:dLbls>
            <c:dLbl>
              <c:idx val="0"/>
              <c:layout>
                <c:manualLayout>
                  <c:x val="-2.4524589378419323E-2"/>
                  <c:y val="-4.6099282031088262E-2"/>
                </c:manualLayout>
              </c:layout>
              <c:spPr>
                <a:noFill/>
                <a:ln w="25376">
                  <a:noFill/>
                </a:ln>
                <a:effectLst/>
              </c:spPr>
              <c:txPr>
                <a:bodyPr rot="0" spcFirstLastPara="1" vertOverflow="ellipsis" vert="horz" wrap="square" anchor="ctr" anchorCtr="1"/>
                <a:lstStyle/>
                <a:p>
                  <a:pPr>
                    <a:defRPr sz="799" b="0" i="1"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F27-4679-AA15-48CB8610DE15}"/>
                </c:ext>
                <c:ext xmlns:c15="http://schemas.microsoft.com/office/drawing/2012/chart" uri="{CE6537A1-D6FC-4f65-9D91-7224C49458BB}"/>
              </c:extLst>
            </c:dLbl>
            <c:dLbl>
              <c:idx val="1"/>
              <c:layout>
                <c:manualLayout>
                  <c:x val="-2.4009533461423843E-2"/>
                  <c:y val="-4.5086879787567147E-2"/>
                </c:manualLayout>
              </c:layout>
              <c:spPr>
                <a:noFill/>
                <a:ln w="25376">
                  <a:noFill/>
                </a:ln>
                <a:effectLst/>
              </c:spPr>
              <c:txPr>
                <a:bodyPr rot="0" spcFirstLastPara="1" vertOverflow="ellipsis" vert="horz" wrap="square" anchor="ctr" anchorCtr="1"/>
                <a:lstStyle/>
                <a:p>
                  <a:pPr>
                    <a:defRPr sz="799" b="0" i="1"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F27-4679-AA15-48CB8610DE15}"/>
                </c:ext>
                <c:ext xmlns:c15="http://schemas.microsoft.com/office/drawing/2012/chart" uri="{CE6537A1-D6FC-4f65-9D91-7224C49458BB}"/>
              </c:extLst>
            </c:dLbl>
            <c:dLbl>
              <c:idx val="2"/>
              <c:layout>
                <c:manualLayout>
                  <c:x val="-1.9711537617723401E-2"/>
                  <c:y val="-6.5835915480084217E-2"/>
                </c:manualLayout>
              </c:layout>
              <c:spPr>
                <a:noFill/>
                <a:ln w="25376">
                  <a:noFill/>
                </a:ln>
                <a:effectLst/>
              </c:spPr>
              <c:txPr>
                <a:bodyPr rot="0" spcFirstLastPara="1" vertOverflow="ellipsis" vert="horz" wrap="square" anchor="ctr" anchorCtr="1"/>
                <a:lstStyle/>
                <a:p>
                  <a:pPr>
                    <a:defRPr sz="799" b="0" i="1"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F27-4679-AA15-48CB8610DE15}"/>
                </c:ext>
                <c:ext xmlns:c15="http://schemas.microsoft.com/office/drawing/2012/chart" uri="{CE6537A1-D6FC-4f65-9D91-7224C49458BB}"/>
              </c:extLst>
            </c:dLbl>
            <c:dLbl>
              <c:idx val="3"/>
              <c:layout>
                <c:manualLayout>
                  <c:x val="-2.0457677965700111E-2"/>
                  <c:y val="-6.4317573698513208E-2"/>
                </c:manualLayout>
              </c:layout>
              <c:spPr>
                <a:noFill/>
                <a:ln w="25376">
                  <a:noFill/>
                </a:ln>
                <a:effectLst/>
              </c:spPr>
              <c:txPr>
                <a:bodyPr rot="0" spcFirstLastPara="1" vertOverflow="ellipsis" vert="horz" wrap="square" anchor="ctr" anchorCtr="1"/>
                <a:lstStyle/>
                <a:p>
                  <a:pPr>
                    <a:defRPr sz="799" b="0" i="1"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F27-4679-AA15-48CB8610DE15}"/>
                </c:ext>
                <c:ext xmlns:c15="http://schemas.microsoft.com/office/drawing/2012/chart" uri="{CE6537A1-D6FC-4f65-9D91-7224C49458BB}"/>
              </c:extLst>
            </c:dLbl>
            <c:dLbl>
              <c:idx val="4"/>
              <c:layout>
                <c:manualLayout>
                  <c:x val="-1.9942622048704672E-2"/>
                  <c:y val="-6.7860377974415464E-2"/>
                </c:manualLayout>
              </c:layout>
              <c:spPr>
                <a:noFill/>
                <a:ln w="25376">
                  <a:noFill/>
                </a:ln>
                <a:effectLst/>
              </c:spPr>
              <c:txPr>
                <a:bodyPr rot="0" spcFirstLastPara="1" vertOverflow="ellipsis" vert="horz" wrap="square" anchor="ctr" anchorCtr="1"/>
                <a:lstStyle/>
                <a:p>
                  <a:pPr>
                    <a:defRPr sz="799" b="0" i="1"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F27-4679-AA15-48CB8610DE15}"/>
                </c:ext>
                <c:ext xmlns:c15="http://schemas.microsoft.com/office/drawing/2012/chart" uri="{CE6537A1-D6FC-4f65-9D91-7224C49458BB}"/>
              </c:extLst>
            </c:dLbl>
            <c:dLbl>
              <c:idx val="5"/>
              <c:layout>
                <c:manualLayout>
                  <c:x val="-2.4471864540439259E-2"/>
                  <c:y val="-7.4439041366746284E-2"/>
                </c:manualLayout>
              </c:layout>
              <c:spPr>
                <a:noFill/>
                <a:ln w="25376">
                  <a:noFill/>
                </a:ln>
                <a:effectLst/>
              </c:spPr>
              <c:txPr>
                <a:bodyPr rot="0" spcFirstLastPara="1" vertOverflow="ellipsis" vert="horz" wrap="square" anchor="ctr" anchorCtr="1"/>
                <a:lstStyle/>
                <a:p>
                  <a:pPr>
                    <a:defRPr sz="799" b="0" i="1"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F27-4679-AA15-48CB8610DE15}"/>
                </c:ext>
                <c:ext xmlns:c15="http://schemas.microsoft.com/office/drawing/2012/chart" uri="{CE6537A1-D6FC-4f65-9D91-7224C49458BB}"/>
              </c:extLst>
            </c:dLbl>
            <c:dLbl>
              <c:idx val="6"/>
              <c:layout>
                <c:manualLayout>
                  <c:x val="-2.7278095182477962E-2"/>
                  <c:y val="-5.7306342454319703E-2"/>
                </c:manualLayout>
              </c:layout>
              <c:spPr>
                <a:noFill/>
                <a:ln w="25376">
                  <a:noFill/>
                </a:ln>
                <a:effectLst/>
              </c:spPr>
              <c:txPr>
                <a:bodyPr rot="0" spcFirstLastPara="1" vertOverflow="ellipsis" vert="horz" wrap="square" anchor="ctr" anchorCtr="1"/>
                <a:lstStyle/>
                <a:p>
                  <a:pPr>
                    <a:defRPr sz="799" b="0" i="1"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F27-4679-AA15-48CB8610DE15}"/>
                </c:ext>
                <c:ext xmlns:c15="http://schemas.microsoft.com/office/drawing/2012/chart" uri="{CE6537A1-D6FC-4f65-9D91-7224C49458BB}"/>
              </c:extLst>
            </c:dLbl>
            <c:dLbl>
              <c:idx val="7"/>
              <c:layout>
                <c:manualLayout>
                  <c:x val="-2.4702899467603671E-2"/>
                  <c:y val="-4.5160949708872598E-2"/>
                </c:manualLayout>
              </c:layout>
              <c:spPr>
                <a:noFill/>
                <a:ln w="25376">
                  <a:noFill/>
                </a:ln>
                <a:effectLst/>
              </c:spPr>
              <c:txPr>
                <a:bodyPr rot="0" spcFirstLastPara="1" vertOverflow="ellipsis" vert="horz" wrap="square" anchor="ctr" anchorCtr="1"/>
                <a:lstStyle/>
                <a:p>
                  <a:pPr>
                    <a:defRPr sz="799" b="0" i="1"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F27-4679-AA15-48CB8610DE15}"/>
                </c:ext>
                <c:ext xmlns:c15="http://schemas.microsoft.com/office/drawing/2012/chart" uri="{CE6537A1-D6FC-4f65-9D91-7224C49458BB}"/>
              </c:extLst>
            </c:dLbl>
            <c:dLbl>
              <c:idx val="8"/>
              <c:layout>
                <c:manualLayout>
                  <c:x val="-2.2927021223558663E-2"/>
                  <c:y val="-4.5087060962276992E-2"/>
                </c:manualLayout>
              </c:layout>
              <c:spPr>
                <a:noFill/>
                <a:ln w="25376">
                  <a:noFill/>
                </a:ln>
                <a:effectLst/>
              </c:spPr>
              <c:txPr>
                <a:bodyPr rot="0" spcFirstLastPara="1" vertOverflow="ellipsis" vert="horz" wrap="square" anchor="ctr" anchorCtr="1"/>
                <a:lstStyle/>
                <a:p>
                  <a:pPr>
                    <a:defRPr sz="799" b="0" i="1"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F27-4679-AA15-48CB8610DE15}"/>
                </c:ext>
                <c:ext xmlns:c15="http://schemas.microsoft.com/office/drawing/2012/chart" uri="{CE6537A1-D6FC-4f65-9D91-7224C49458BB}"/>
              </c:extLst>
            </c:dLbl>
            <c:dLbl>
              <c:idx val="9"/>
              <c:layout>
                <c:manualLayout>
                  <c:x val="-2.653238339027152E-2"/>
                  <c:y val="-7.2447120580515667E-2"/>
                </c:manualLayout>
              </c:layout>
              <c:spPr>
                <a:noFill/>
                <a:ln w="25376">
                  <a:noFill/>
                </a:ln>
                <a:effectLst/>
              </c:spPr>
              <c:txPr>
                <a:bodyPr rot="0" spcFirstLastPara="1" vertOverflow="ellipsis" vert="horz" wrap="square" anchor="ctr" anchorCtr="1"/>
                <a:lstStyle/>
                <a:p>
                  <a:pPr>
                    <a:defRPr sz="799" b="0" i="1"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6F27-4679-AA15-48CB8610DE15}"/>
                </c:ext>
                <c:ext xmlns:c15="http://schemas.microsoft.com/office/drawing/2012/chart" uri="{CE6537A1-D6FC-4f65-9D91-7224C49458BB}"/>
              </c:extLst>
            </c:dLbl>
            <c:dLbl>
              <c:idx val="10"/>
              <c:layout>
                <c:manualLayout>
                  <c:x val="-2.555551229767478E-2"/>
                  <c:y val="-5.5714443740509448E-2"/>
                </c:manualLayout>
              </c:layout>
              <c:spPr>
                <a:noFill/>
                <a:ln w="25376">
                  <a:noFill/>
                </a:ln>
                <a:effectLst/>
              </c:spPr>
              <c:txPr>
                <a:bodyPr rot="0" spcFirstLastPara="1" vertOverflow="ellipsis" vert="horz" wrap="square" anchor="ctr" anchorCtr="1"/>
                <a:lstStyle/>
                <a:p>
                  <a:pPr>
                    <a:defRPr sz="799" b="0" i="1"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6F27-4679-AA15-48CB8610DE15}"/>
                </c:ext>
                <c:ext xmlns:c15="http://schemas.microsoft.com/office/drawing/2012/chart" uri="{CE6537A1-D6FC-4f65-9D91-7224C49458BB}"/>
              </c:extLst>
            </c:dLbl>
            <c:dLbl>
              <c:idx val="11"/>
              <c:layout>
                <c:manualLayout>
                  <c:x val="-2.7899873146264628E-2"/>
                  <c:y val="-6.6341850946792624E-2"/>
                </c:manualLayout>
              </c:layout>
              <c:spPr>
                <a:noFill/>
                <a:ln w="25376">
                  <a:noFill/>
                </a:ln>
                <a:effectLst/>
              </c:spPr>
              <c:txPr>
                <a:bodyPr rot="0" spcFirstLastPara="1" vertOverflow="ellipsis" vert="horz" wrap="square" anchor="ctr" anchorCtr="1"/>
                <a:lstStyle/>
                <a:p>
                  <a:pPr>
                    <a:defRPr sz="799" b="0" i="1"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6F27-4679-AA15-48CB8610DE15}"/>
                </c:ext>
                <c:ext xmlns:c15="http://schemas.microsoft.com/office/drawing/2012/chart" uri="{CE6537A1-D6FC-4f65-9D91-7224C49458BB}"/>
              </c:extLst>
            </c:dLbl>
            <c:dLbl>
              <c:idx val="12"/>
              <c:layout>
                <c:manualLayout>
                  <c:x val="-2.2128318254654777E-2"/>
                  <c:y val="-6.3305513447702966E-2"/>
                </c:manualLayout>
              </c:layout>
              <c:spPr>
                <a:noFill/>
                <a:ln w="25376">
                  <a:noFill/>
                </a:ln>
                <a:effectLst/>
              </c:spPr>
              <c:txPr>
                <a:bodyPr rot="0" spcFirstLastPara="1" vertOverflow="ellipsis" vert="horz" wrap="square" anchor="ctr" anchorCtr="1"/>
                <a:lstStyle/>
                <a:p>
                  <a:pPr>
                    <a:defRPr sz="799" b="0" i="1"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6F27-4679-AA15-48CB8610DE15}"/>
                </c:ext>
                <c:ext xmlns:c15="http://schemas.microsoft.com/office/drawing/2012/chart" uri="{CE6537A1-D6FC-4f65-9D91-7224C49458BB}"/>
              </c:extLst>
            </c:dLbl>
            <c:dLbl>
              <c:idx val="13"/>
              <c:layout>
                <c:manualLayout>
                  <c:x val="-1.7830160193901379E-2"/>
                  <c:y val="-4.660506075113735E-2"/>
                </c:manualLayout>
              </c:layout>
              <c:spPr>
                <a:noFill/>
                <a:ln w="25376">
                  <a:noFill/>
                </a:ln>
                <a:effectLst/>
              </c:spPr>
              <c:txPr>
                <a:bodyPr rot="0" spcFirstLastPara="1" vertOverflow="ellipsis" vert="horz" wrap="square" anchor="ctr" anchorCtr="1"/>
                <a:lstStyle/>
                <a:p>
                  <a:pPr>
                    <a:defRPr sz="799" b="0" i="1"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6F27-4679-AA15-48CB8610DE15}"/>
                </c:ext>
                <c:ext xmlns:c15="http://schemas.microsoft.com/office/drawing/2012/chart" uri="{CE6537A1-D6FC-4f65-9D91-7224C49458BB}"/>
              </c:extLst>
            </c:dLbl>
            <c:dLbl>
              <c:idx val="14"/>
              <c:layout>
                <c:manualLayout>
                  <c:x val="-2.1098368637716747E-2"/>
                  <c:y val="-6.2293614014893806E-2"/>
                </c:manualLayout>
              </c:layout>
              <c:spPr>
                <a:noFill/>
                <a:ln w="25376">
                  <a:noFill/>
                </a:ln>
                <a:effectLst/>
              </c:spPr>
              <c:txPr>
                <a:bodyPr rot="0" spcFirstLastPara="1" vertOverflow="ellipsis" vert="horz" wrap="square" anchor="ctr" anchorCtr="1"/>
                <a:lstStyle/>
                <a:p>
                  <a:pPr>
                    <a:defRPr sz="799" b="0" i="1"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6F27-4679-AA15-48CB8610DE15}"/>
                </c:ext>
                <c:ext xmlns:c15="http://schemas.microsoft.com/office/drawing/2012/chart" uri="{CE6537A1-D6FC-4f65-9D91-7224C49458BB}"/>
              </c:extLst>
            </c:dLbl>
            <c:dLbl>
              <c:idx val="15"/>
              <c:layout>
                <c:manualLayout>
                  <c:x val="-1.9322440889854908E-2"/>
                  <c:y val="-6.6848317723605333E-2"/>
                </c:manualLayout>
              </c:layout>
              <c:spPr>
                <a:noFill/>
                <a:ln w="25376">
                  <a:noFill/>
                </a:ln>
                <a:effectLst/>
              </c:spPr>
              <c:txPr>
                <a:bodyPr rot="0" spcFirstLastPara="1" vertOverflow="ellipsis" vert="horz" wrap="square" anchor="ctr" anchorCtr="1"/>
                <a:lstStyle/>
                <a:p>
                  <a:pPr>
                    <a:defRPr sz="799" b="0" i="1"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6F27-4679-AA15-48CB8610DE15}"/>
                </c:ext>
                <c:ext xmlns:c15="http://schemas.microsoft.com/office/drawing/2012/chart" uri="{CE6537A1-D6FC-4f65-9D91-7224C49458BB}"/>
              </c:extLst>
            </c:dLbl>
            <c:dLbl>
              <c:idx val="16"/>
              <c:layout>
                <c:manualLayout>
                  <c:x val="-2.7048071401458006E-2"/>
                  <c:y val="-6.634235375750451E-2"/>
                </c:manualLayout>
              </c:layout>
              <c:spPr>
                <a:noFill/>
                <a:ln w="25376">
                  <a:noFill/>
                </a:ln>
                <a:effectLst/>
              </c:spPr>
              <c:txPr>
                <a:bodyPr rot="0" spcFirstLastPara="1" vertOverflow="ellipsis" vert="horz" wrap="square" anchor="ctr" anchorCtr="1"/>
                <a:lstStyle/>
                <a:p>
                  <a:pPr>
                    <a:defRPr sz="799" b="0" i="1"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6F27-4679-AA15-48CB8610DE15}"/>
                </c:ext>
                <c:ext xmlns:c15="http://schemas.microsoft.com/office/drawing/2012/chart" uri="{CE6537A1-D6FC-4f65-9D91-7224C49458BB}"/>
              </c:extLst>
            </c:dLbl>
            <c:dLbl>
              <c:idx val="17"/>
              <c:layout>
                <c:manualLayout>
                  <c:x val="-2.859335104743551E-2"/>
                  <c:y val="-5.8245259449520748E-2"/>
                </c:manualLayout>
              </c:layout>
              <c:spPr>
                <a:noFill/>
                <a:ln w="25376">
                  <a:noFill/>
                </a:ln>
                <a:effectLst/>
              </c:spPr>
              <c:txPr>
                <a:bodyPr rot="0" spcFirstLastPara="1" vertOverflow="ellipsis" vert="horz" wrap="square" anchor="ctr" anchorCtr="1"/>
                <a:lstStyle/>
                <a:p>
                  <a:pPr>
                    <a:defRPr sz="799" b="0" i="1"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6F27-4679-AA15-48CB8610DE15}"/>
                </c:ext>
                <c:ext xmlns:c15="http://schemas.microsoft.com/office/drawing/2012/chart" uri="{CE6537A1-D6FC-4f65-9D91-7224C49458BB}"/>
              </c:extLst>
            </c:dLbl>
            <c:dLbl>
              <c:idx val="18"/>
              <c:layout>
                <c:manualLayout>
                  <c:x val="-2.9985660012523157E-2"/>
                  <c:y val="-6.446335012721117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6F27-4679-AA15-48CB8610DE15}"/>
                </c:ext>
                <c:ext xmlns:c15="http://schemas.microsoft.com/office/drawing/2012/chart" uri="{CE6537A1-D6FC-4f65-9D91-7224C49458BB}"/>
              </c:extLst>
            </c:dLbl>
            <c:dLbl>
              <c:idx val="19"/>
              <c:layout>
                <c:manualLayout>
                  <c:x val="-3.1346498869347143E-2"/>
                  <c:y val="-4.9164175333698323E-2"/>
                </c:manualLayout>
              </c:layout>
              <c:spPr>
                <a:noFill/>
                <a:ln w="25376">
                  <a:noFill/>
                </a:ln>
                <a:effectLst/>
              </c:spPr>
              <c:txPr>
                <a:bodyPr rot="0" spcFirstLastPara="1" vertOverflow="ellipsis" vert="horz" wrap="square" anchor="ctr" anchorCtr="1"/>
                <a:lstStyle/>
                <a:p>
                  <a:pPr>
                    <a:defRPr sz="799" b="0" i="1"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6F27-4679-AA15-48CB8610DE15}"/>
                </c:ext>
                <c:ext xmlns:c15="http://schemas.microsoft.com/office/drawing/2012/chart" uri="{CE6537A1-D6FC-4f65-9D91-7224C49458BB}"/>
              </c:extLst>
            </c:dLbl>
            <c:dLbl>
              <c:idx val="20"/>
              <c:layout>
                <c:manualLayout>
                  <c:x val="-3.7011929442070671E-2"/>
                  <c:y val="-6.3279431534472824E-2"/>
                </c:manualLayout>
              </c:layout>
              <c:spPr>
                <a:noFill/>
                <a:ln w="25376">
                  <a:noFill/>
                </a:ln>
                <a:effectLst/>
              </c:spPr>
              <c:txPr>
                <a:bodyPr rot="0" spcFirstLastPara="1" vertOverflow="ellipsis" vert="horz" wrap="square" anchor="ctr" anchorCtr="1"/>
                <a:lstStyle/>
                <a:p>
                  <a:pPr>
                    <a:defRPr sz="799" b="0" i="1"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6F27-4679-AA15-48CB8610DE15}"/>
                </c:ext>
                <c:ext xmlns:c15="http://schemas.microsoft.com/office/drawing/2012/chart" uri="{CE6537A1-D6FC-4f65-9D91-7224C49458BB}"/>
              </c:extLst>
            </c:dLbl>
            <c:dLbl>
              <c:idx val="21"/>
              <c:layout>
                <c:manualLayout>
                  <c:x val="-1.5992168160685724E-3"/>
                  <c:y val="-3.3543307086614176E-2"/>
                </c:manualLayout>
              </c:layout>
              <c:spPr>
                <a:noFill/>
                <a:ln w="25376">
                  <a:noFill/>
                </a:ln>
                <a:effectLst/>
              </c:spPr>
              <c:txPr>
                <a:bodyPr rot="0" spcFirstLastPara="1" vertOverflow="ellipsis" vert="horz" wrap="square" anchor="ctr" anchorCtr="1"/>
                <a:lstStyle/>
                <a:p>
                  <a:pPr>
                    <a:defRPr sz="799" b="0" i="1"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6F27-4679-AA15-48CB8610DE15}"/>
                </c:ext>
                <c:ext xmlns:c15="http://schemas.microsoft.com/office/drawing/2012/chart" uri="{CE6537A1-D6FC-4f65-9D91-7224C49458BB}">
                  <c15:layout>
                    <c:manualLayout>
                      <c:w val="3.524927894519983E-2"/>
                      <c:h val="7.1455938697317992E-2"/>
                    </c:manualLayout>
                  </c15:layout>
                </c:ext>
              </c:extLst>
            </c:dLbl>
            <c:dLbl>
              <c:idx val="22"/>
              <c:layout>
                <c:manualLayout>
                  <c:x val="-1.2088414782515597E-3"/>
                  <c:y val="-5.6919168526394094E-2"/>
                </c:manualLayout>
              </c:layout>
              <c:spPr>
                <a:noFill/>
                <a:ln w="25376">
                  <a:noFill/>
                </a:ln>
                <a:effectLst/>
              </c:spPr>
              <c:txPr>
                <a:bodyPr rot="0" spcFirstLastPara="1" vertOverflow="ellipsis" vert="horz" wrap="square" anchor="ctr" anchorCtr="1"/>
                <a:lstStyle/>
                <a:p>
                  <a:pPr>
                    <a:defRPr sz="799" b="0" i="1"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6F27-4679-AA15-48CB8610DE15}"/>
                </c:ext>
                <c:ext xmlns:c15="http://schemas.microsoft.com/office/drawing/2012/chart" uri="{CE6537A1-D6FC-4f65-9D91-7224C49458BB}"/>
              </c:extLst>
            </c:dLbl>
            <c:spPr>
              <a:noFill/>
              <a:ln w="25376">
                <a:noFill/>
              </a:ln>
              <a:effectLst/>
            </c:spPr>
            <c:txPr>
              <a:bodyPr rot="0" spcFirstLastPara="1" vertOverflow="ellipsis" vert="horz" wrap="square" lIns="38100" tIns="19050" rIns="38100" bIns="19050" anchor="ctr" anchorCtr="1">
                <a:spAutoFit/>
              </a:bodyPr>
              <a:lstStyle/>
              <a:p>
                <a:pPr>
                  <a:defRPr sz="799" b="0" i="1" u="none" strike="noStrike" kern="1200" baseline="0">
                    <a:solidFill>
                      <a:srgbClr val="000000"/>
                    </a:solidFill>
                    <a:latin typeface="Arial Cyr"/>
                    <a:ea typeface="Arial Cyr"/>
                    <a:cs typeface="Arial Cyr"/>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Sheet1!$B$1:$W$1</c:f>
              <c:strCache>
                <c:ptCount val="22"/>
                <c:pt idx="0">
                  <c:v>01.2017</c:v>
                </c:pt>
                <c:pt idx="1">
                  <c:v>02.2017</c:v>
                </c:pt>
                <c:pt idx="2">
                  <c:v>03.2017</c:v>
                </c:pt>
                <c:pt idx="3">
                  <c:v> 04. 2017</c:v>
                </c:pt>
                <c:pt idx="4">
                  <c:v> 05. 2017</c:v>
                </c:pt>
                <c:pt idx="5">
                  <c:v> 06. 2017</c:v>
                </c:pt>
                <c:pt idx="6">
                  <c:v>10.2017</c:v>
                </c:pt>
                <c:pt idx="7">
                  <c:v>11.2017</c:v>
                </c:pt>
                <c:pt idx="8">
                  <c:v>12.2017</c:v>
                </c:pt>
                <c:pt idx="9">
                  <c:v>01.2018</c:v>
                </c:pt>
                <c:pt idx="10">
                  <c:v>02.2018</c:v>
                </c:pt>
                <c:pt idx="11">
                  <c:v>03.2018</c:v>
                </c:pt>
                <c:pt idx="12">
                  <c:v>04.2018</c:v>
                </c:pt>
                <c:pt idx="13">
                  <c:v> 05. 2018</c:v>
                </c:pt>
                <c:pt idx="14">
                  <c:v> 06. 2018</c:v>
                </c:pt>
                <c:pt idx="15">
                  <c:v>07.2018</c:v>
                </c:pt>
                <c:pt idx="16">
                  <c:v> 08. 2018</c:v>
                </c:pt>
                <c:pt idx="17">
                  <c:v> 09. 2018</c:v>
                </c:pt>
                <c:pt idx="18">
                  <c:v>10.2018</c:v>
                </c:pt>
                <c:pt idx="19">
                  <c:v>11.2018</c:v>
                </c:pt>
                <c:pt idx="20">
                  <c:v>12.2018</c:v>
                </c:pt>
                <c:pt idx="21">
                  <c:v>01.2019</c:v>
                </c:pt>
              </c:strCache>
            </c:strRef>
          </c:cat>
          <c:val>
            <c:numRef>
              <c:f>Sheet1!$B$2:$W$2</c:f>
              <c:numCache>
                <c:formatCode>General</c:formatCode>
                <c:ptCount val="22"/>
                <c:pt idx="0">
                  <c:v>1.2</c:v>
                </c:pt>
                <c:pt idx="1">
                  <c:v>1.2</c:v>
                </c:pt>
                <c:pt idx="2">
                  <c:v>0.4</c:v>
                </c:pt>
                <c:pt idx="3">
                  <c:v>1.4</c:v>
                </c:pt>
                <c:pt idx="4">
                  <c:v>0.9</c:v>
                </c:pt>
                <c:pt idx="5">
                  <c:v>-0.4</c:v>
                </c:pt>
                <c:pt idx="6">
                  <c:v>1.5</c:v>
                </c:pt>
                <c:pt idx="7">
                  <c:v>0.7</c:v>
                </c:pt>
                <c:pt idx="8">
                  <c:v>0.5</c:v>
                </c:pt>
                <c:pt idx="9" formatCode="0.0">
                  <c:v>0</c:v>
                </c:pt>
                <c:pt idx="10">
                  <c:v>0.2</c:v>
                </c:pt>
                <c:pt idx="11">
                  <c:v>0.1</c:v>
                </c:pt>
                <c:pt idx="12">
                  <c:v>0.5</c:v>
                </c:pt>
                <c:pt idx="13" formatCode="0.0">
                  <c:v>0</c:v>
                </c:pt>
                <c:pt idx="14" formatCode="0.0">
                  <c:v>0</c:v>
                </c:pt>
                <c:pt idx="15">
                  <c:v>-1.2</c:v>
                </c:pt>
                <c:pt idx="16">
                  <c:v>-0.2</c:v>
                </c:pt>
                <c:pt idx="17">
                  <c:v>0.1</c:v>
                </c:pt>
                <c:pt idx="18">
                  <c:v>0.4</c:v>
                </c:pt>
                <c:pt idx="19">
                  <c:v>0.4</c:v>
                </c:pt>
                <c:pt idx="20">
                  <c:v>0.5</c:v>
                </c:pt>
                <c:pt idx="21">
                  <c:v>1.3</c:v>
                </c:pt>
              </c:numCache>
            </c:numRef>
          </c:val>
          <c:smooth val="0"/>
          <c:extLst xmlns:c16r2="http://schemas.microsoft.com/office/drawing/2015/06/chart">
            <c:ext xmlns:c16="http://schemas.microsoft.com/office/drawing/2014/chart" uri="{C3380CC4-5D6E-409C-BE32-E72D297353CC}">
              <c16:uniqueId val="{00000017-6F27-4679-AA15-48CB8610DE15}"/>
            </c:ext>
          </c:extLst>
        </c:ser>
        <c:ser>
          <c:idx val="1"/>
          <c:order val="1"/>
          <c:tx>
            <c:strRef>
              <c:f>Sheet1!$A$3</c:f>
              <c:strCache>
                <c:ptCount val="1"/>
                <c:pt idx="0">
                  <c:v>Rata inflației faţă de luna respectivă a anului precedent </c:v>
                </c:pt>
              </c:strCache>
            </c:strRef>
          </c:tx>
          <c:spPr>
            <a:ln w="19050" cap="rnd" cmpd="sng" algn="ctr">
              <a:solidFill>
                <a:schemeClr val="accent5"/>
              </a:solidFill>
              <a:prstDash val="solid"/>
              <a:round/>
            </a:ln>
            <a:effectLst/>
          </c:spPr>
          <c:marker>
            <c:symbol val="square"/>
            <c:size val="5"/>
            <c:spPr>
              <a:solidFill>
                <a:schemeClr val="accent5"/>
              </a:solidFill>
              <a:ln w="6350" cap="flat" cmpd="sng" algn="ctr">
                <a:solidFill>
                  <a:schemeClr val="accent5"/>
                </a:solidFill>
                <a:prstDash val="solid"/>
                <a:round/>
              </a:ln>
              <a:effectLst/>
            </c:spPr>
          </c:marker>
          <c:dLbls>
            <c:dLbl>
              <c:idx val="17"/>
              <c:layout>
                <c:manualLayout>
                  <c:x val="-2.964179770419062E-2"/>
                  <c:y val="-9.6200257414656432E-2"/>
                </c:manualLayout>
              </c:layout>
              <c:spPr>
                <a:noFill/>
                <a:ln w="25376">
                  <a:noFill/>
                </a:ln>
                <a:effectLst/>
              </c:spPr>
              <c:txPr>
                <a:bodyPr rot="0" spcFirstLastPara="1" vertOverflow="ellipsis" vert="horz" wrap="square" anchor="ctr" anchorCtr="1"/>
                <a:lstStyle/>
                <a:p>
                  <a:pPr>
                    <a:defRPr sz="799" b="1" i="0"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6F27-4679-AA15-48CB8610DE15}"/>
                </c:ext>
                <c:ext xmlns:c15="http://schemas.microsoft.com/office/drawing/2012/chart" uri="{CE6537A1-D6FC-4f65-9D91-7224C49458BB}"/>
              </c:extLst>
            </c:dLbl>
            <c:dLbl>
              <c:idx val="18"/>
              <c:layout>
                <c:manualLayout>
                  <c:x val="-3.3833772941546707E-2"/>
                  <c:y val="-9.8405266186646453E-2"/>
                </c:manualLayout>
              </c:layout>
              <c:spPr>
                <a:noFill/>
                <a:ln w="25376">
                  <a:noFill/>
                </a:ln>
                <a:effectLst/>
              </c:spPr>
              <c:txPr>
                <a:bodyPr rot="0" spcFirstLastPara="1" vertOverflow="ellipsis" vert="horz" wrap="square" anchor="ctr" anchorCtr="1"/>
                <a:lstStyle/>
                <a:p>
                  <a:pPr>
                    <a:defRPr sz="799" b="1" i="0"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6F27-4679-AA15-48CB8610DE15}"/>
                </c:ext>
                <c:ext xmlns:c15="http://schemas.microsoft.com/office/drawing/2012/chart" uri="{CE6537A1-D6FC-4f65-9D91-7224C49458BB}"/>
              </c:extLst>
            </c:dLbl>
            <c:dLbl>
              <c:idx val="19"/>
              <c:layout>
                <c:manualLayout>
                  <c:x val="-3.2394950231010244E-2"/>
                  <c:y val="-8.9621754840326695E-2"/>
                </c:manualLayout>
              </c:layout>
              <c:spPr>
                <a:noFill/>
                <a:ln w="25376">
                  <a:noFill/>
                </a:ln>
                <a:effectLst/>
              </c:spPr>
              <c:txPr>
                <a:bodyPr rot="0" spcFirstLastPara="1" vertOverflow="ellipsis" vert="horz" wrap="square" anchor="ctr" anchorCtr="1"/>
                <a:lstStyle/>
                <a:p>
                  <a:pPr>
                    <a:defRPr sz="799" b="1" i="0"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6F27-4679-AA15-48CB8610DE15}"/>
                </c:ext>
                <c:ext xmlns:c15="http://schemas.microsoft.com/office/drawing/2012/chart" uri="{CE6537A1-D6FC-4f65-9D91-7224C49458BB}"/>
              </c:extLst>
            </c:dLbl>
            <c:dLbl>
              <c:idx val="20"/>
              <c:layout>
                <c:manualLayout>
                  <c:x val="-2.1454502983171753E-2"/>
                  <c:y val="-8.5572498559631269E-2"/>
                </c:manualLayout>
              </c:layout>
              <c:spPr>
                <a:noFill/>
                <a:ln w="25376">
                  <a:noFill/>
                </a:ln>
                <a:effectLst/>
              </c:spPr>
              <c:txPr>
                <a:bodyPr rot="0" spcFirstLastPara="1" vertOverflow="ellipsis" vert="horz" wrap="square" anchor="ctr" anchorCtr="1"/>
                <a:lstStyle/>
                <a:p>
                  <a:pPr>
                    <a:defRPr sz="799" b="1" i="0"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6F27-4679-AA15-48CB8610DE15}"/>
                </c:ext>
                <c:ext xmlns:c15="http://schemas.microsoft.com/office/drawing/2012/chart" uri="{CE6537A1-D6FC-4f65-9D91-7224C49458BB}"/>
              </c:extLst>
            </c:dLbl>
            <c:dLbl>
              <c:idx val="21"/>
              <c:layout>
                <c:manualLayout>
                  <c:x val="-1.0177011248130599E-2"/>
                  <c:y val="-7.754023429998079E-2"/>
                </c:manualLayout>
              </c:layout>
              <c:spPr>
                <a:noFill/>
                <a:ln w="25376">
                  <a:noFill/>
                </a:ln>
                <a:effectLst/>
              </c:spPr>
              <c:txPr>
                <a:bodyPr rot="0" spcFirstLastPara="1" vertOverflow="ellipsis" vert="horz" wrap="square" anchor="ctr" anchorCtr="1"/>
                <a:lstStyle/>
                <a:p>
                  <a:pPr>
                    <a:defRPr sz="799" b="1" i="0"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6F27-4679-AA15-48CB8610DE15}"/>
                </c:ext>
                <c:ext xmlns:c15="http://schemas.microsoft.com/office/drawing/2012/chart" uri="{CE6537A1-D6FC-4f65-9D91-7224C49458BB}"/>
              </c:extLst>
            </c:dLbl>
            <c:dLbl>
              <c:idx val="22"/>
              <c:layout>
                <c:manualLayout>
                  <c:x val="-1.4213458175577249E-3"/>
                  <c:y val="-9.836035201482167E-2"/>
                </c:manualLayout>
              </c:layout>
              <c:spPr>
                <a:noFill/>
                <a:ln w="25376">
                  <a:noFill/>
                </a:ln>
                <a:effectLst/>
              </c:spPr>
              <c:txPr>
                <a:bodyPr rot="0" spcFirstLastPara="1" vertOverflow="ellipsis" vert="horz" wrap="square" anchor="ctr" anchorCtr="1"/>
                <a:lstStyle/>
                <a:p>
                  <a:pPr>
                    <a:defRPr sz="799" b="1" i="0" u="none" strike="noStrike" kern="1200" baseline="0">
                      <a:solidFill>
                        <a:srgbClr val="000000"/>
                      </a:solidFill>
                      <a:latin typeface="Arial Cyr"/>
                      <a:ea typeface="Arial Cyr"/>
                      <a:cs typeface="Arial Cyr"/>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6F27-4679-AA15-48CB8610DE15}"/>
                </c:ext>
                <c:ext xmlns:c15="http://schemas.microsoft.com/office/drawing/2012/chart" uri="{CE6537A1-D6FC-4f65-9D91-7224C49458BB}"/>
              </c:extLst>
            </c:dLbl>
            <c:spPr>
              <a:noFill/>
              <a:ln w="25376">
                <a:noFill/>
              </a:ln>
              <a:effectLst/>
            </c:spPr>
            <c:txPr>
              <a:bodyPr rot="0" spcFirstLastPara="1" vertOverflow="ellipsis" vert="horz" wrap="square" lIns="38100" tIns="19050" rIns="38100" bIns="19050" anchor="ctr" anchorCtr="1">
                <a:spAutoFit/>
              </a:bodyPr>
              <a:lstStyle/>
              <a:p>
                <a:pPr>
                  <a:defRPr sz="799" b="1" i="0" u="none" strike="noStrike" kern="1200" baseline="0">
                    <a:solidFill>
                      <a:srgbClr val="000000"/>
                    </a:solidFill>
                    <a:latin typeface="Arial Cyr"/>
                    <a:ea typeface="Arial Cyr"/>
                    <a:cs typeface="Arial Cyr"/>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Sheet1!$B$1:$W$1</c:f>
              <c:strCache>
                <c:ptCount val="22"/>
                <c:pt idx="0">
                  <c:v>01.2017</c:v>
                </c:pt>
                <c:pt idx="1">
                  <c:v>02.2017</c:v>
                </c:pt>
                <c:pt idx="2">
                  <c:v>03.2017</c:v>
                </c:pt>
                <c:pt idx="3">
                  <c:v> 04. 2017</c:v>
                </c:pt>
                <c:pt idx="4">
                  <c:v> 05. 2017</c:v>
                </c:pt>
                <c:pt idx="5">
                  <c:v> 06. 2017</c:v>
                </c:pt>
                <c:pt idx="6">
                  <c:v>10.2017</c:v>
                </c:pt>
                <c:pt idx="7">
                  <c:v>11.2017</c:v>
                </c:pt>
                <c:pt idx="8">
                  <c:v>12.2017</c:v>
                </c:pt>
                <c:pt idx="9">
                  <c:v>01.2018</c:v>
                </c:pt>
                <c:pt idx="10">
                  <c:v>02.2018</c:v>
                </c:pt>
                <c:pt idx="11">
                  <c:v>03.2018</c:v>
                </c:pt>
                <c:pt idx="12">
                  <c:v>04.2018</c:v>
                </c:pt>
                <c:pt idx="13">
                  <c:v> 05. 2018</c:v>
                </c:pt>
                <c:pt idx="14">
                  <c:v> 06. 2018</c:v>
                </c:pt>
                <c:pt idx="15">
                  <c:v>07.2018</c:v>
                </c:pt>
                <c:pt idx="16">
                  <c:v> 08. 2018</c:v>
                </c:pt>
                <c:pt idx="17">
                  <c:v> 09. 2018</c:v>
                </c:pt>
                <c:pt idx="18">
                  <c:v>10.2018</c:v>
                </c:pt>
                <c:pt idx="19">
                  <c:v>11.2018</c:v>
                </c:pt>
                <c:pt idx="20">
                  <c:v>12.2018</c:v>
                </c:pt>
                <c:pt idx="21">
                  <c:v>01.2019</c:v>
                </c:pt>
              </c:strCache>
            </c:strRef>
          </c:cat>
          <c:val>
            <c:numRef>
              <c:f>Sheet1!$B$3:$W$3</c:f>
              <c:numCache>
                <c:formatCode>General</c:formatCode>
                <c:ptCount val="22"/>
                <c:pt idx="0" formatCode="0.0">
                  <c:v>3</c:v>
                </c:pt>
                <c:pt idx="1">
                  <c:v>4.7</c:v>
                </c:pt>
                <c:pt idx="2">
                  <c:v>5.0999999999999996</c:v>
                </c:pt>
                <c:pt idx="3">
                  <c:v>6.6</c:v>
                </c:pt>
                <c:pt idx="4">
                  <c:v>7.4</c:v>
                </c:pt>
                <c:pt idx="5">
                  <c:v>7.3</c:v>
                </c:pt>
                <c:pt idx="6">
                  <c:v>7.9</c:v>
                </c:pt>
                <c:pt idx="7">
                  <c:v>7.3</c:v>
                </c:pt>
                <c:pt idx="8">
                  <c:v>7.3</c:v>
                </c:pt>
                <c:pt idx="9" formatCode="0.0">
                  <c:v>6</c:v>
                </c:pt>
                <c:pt idx="10" formatCode="0.0">
                  <c:v>5</c:v>
                </c:pt>
                <c:pt idx="11">
                  <c:v>4.7</c:v>
                </c:pt>
                <c:pt idx="12">
                  <c:v>3.7</c:v>
                </c:pt>
                <c:pt idx="13">
                  <c:v>2.8</c:v>
                </c:pt>
                <c:pt idx="14">
                  <c:v>3.2</c:v>
                </c:pt>
                <c:pt idx="15" formatCode="0.0">
                  <c:v>3</c:v>
                </c:pt>
                <c:pt idx="16">
                  <c:v>3.2</c:v>
                </c:pt>
                <c:pt idx="17">
                  <c:v>2.4</c:v>
                </c:pt>
                <c:pt idx="18">
                  <c:v>1.2</c:v>
                </c:pt>
                <c:pt idx="19">
                  <c:v>0.9</c:v>
                </c:pt>
                <c:pt idx="20">
                  <c:v>0.9</c:v>
                </c:pt>
                <c:pt idx="21">
                  <c:v>2.2000000000000002</c:v>
                </c:pt>
              </c:numCache>
            </c:numRef>
          </c:val>
          <c:smooth val="0"/>
          <c:extLst xmlns:c16r2="http://schemas.microsoft.com/office/drawing/2015/06/chart">
            <c:ext xmlns:c16="http://schemas.microsoft.com/office/drawing/2014/chart" uri="{C3380CC4-5D6E-409C-BE32-E72D297353CC}">
              <c16:uniqueId val="{0000001E-6F27-4679-AA15-48CB8610DE15}"/>
            </c:ext>
          </c:extLst>
        </c:ser>
        <c:dLbls>
          <c:showLegendKey val="0"/>
          <c:showVal val="0"/>
          <c:showCatName val="0"/>
          <c:showSerName val="0"/>
          <c:showPercent val="0"/>
          <c:showBubbleSize val="0"/>
        </c:dLbls>
        <c:marker val="1"/>
        <c:smooth val="0"/>
        <c:axId val="585168144"/>
        <c:axId val="585164616"/>
      </c:lineChart>
      <c:catAx>
        <c:axId val="585168144"/>
        <c:scaling>
          <c:orientation val="minMax"/>
        </c:scaling>
        <c:delete val="0"/>
        <c:axPos val="b"/>
        <c:numFmt formatCode="General" sourceLinked="1"/>
        <c:majorTickMark val="out"/>
        <c:minorTickMark val="none"/>
        <c:tickLblPos val="low"/>
        <c:spPr>
          <a:noFill/>
          <a:ln w="25376" cap="flat" cmpd="sng" algn="ctr">
            <a:solidFill>
              <a:srgbClr val="000000"/>
            </a:solidFill>
            <a:prstDash val="solid"/>
            <a:round/>
          </a:ln>
          <a:effectLst/>
        </c:spPr>
        <c:txPr>
          <a:bodyPr rot="-5400000" spcFirstLastPara="1" vertOverflow="ellipsis" wrap="square" anchor="ctr" anchorCtr="1"/>
          <a:lstStyle/>
          <a:p>
            <a:pPr>
              <a:defRPr sz="525" b="0" i="0" u="none" strike="noStrike" kern="1200" baseline="0">
                <a:solidFill>
                  <a:srgbClr val="000000"/>
                </a:solidFill>
                <a:latin typeface="Arial Cyr"/>
                <a:ea typeface="Arial Cyr"/>
                <a:cs typeface="Arial Cyr"/>
              </a:defRPr>
            </a:pPr>
            <a:endParaRPr lang="en-US"/>
          </a:p>
        </c:txPr>
        <c:crossAx val="585164616"/>
        <c:crosses val="autoZero"/>
        <c:auto val="1"/>
        <c:lblAlgn val="ctr"/>
        <c:lblOffset val="100"/>
        <c:tickLblSkip val="1"/>
        <c:tickMarkSkip val="1"/>
        <c:noMultiLvlLbl val="0"/>
      </c:catAx>
      <c:valAx>
        <c:axId val="585164616"/>
        <c:scaling>
          <c:orientation val="minMax"/>
          <c:max val="10"/>
          <c:min val="-2"/>
        </c:scaling>
        <c:delete val="0"/>
        <c:axPos val="l"/>
        <c:numFmt formatCode="General" sourceLinked="1"/>
        <c:majorTickMark val="out"/>
        <c:minorTickMark val="none"/>
        <c:tickLblPos val="nextTo"/>
        <c:spPr>
          <a:noFill/>
          <a:ln w="3172" cap="flat" cmpd="sng" algn="ctr">
            <a:solidFill>
              <a:srgbClr val="000000"/>
            </a:solidFill>
            <a:prstDash val="solid"/>
            <a:round/>
          </a:ln>
          <a:effectLst/>
        </c:spPr>
        <c:txPr>
          <a:bodyPr rot="0" spcFirstLastPara="1" vertOverflow="ellipsis" wrap="square" anchor="ctr" anchorCtr="1"/>
          <a:lstStyle/>
          <a:p>
            <a:pPr>
              <a:defRPr sz="799" b="1" i="0" u="none" strike="noStrike" kern="1200" baseline="0">
                <a:solidFill>
                  <a:srgbClr val="000000"/>
                </a:solidFill>
                <a:latin typeface="Arial Cyr"/>
                <a:ea typeface="Arial Cyr"/>
                <a:cs typeface="Arial Cyr"/>
              </a:defRPr>
            </a:pPr>
            <a:endParaRPr lang="en-US"/>
          </a:p>
        </c:txPr>
        <c:crossAx val="585168144"/>
        <c:crosses val="autoZero"/>
        <c:crossBetween val="between"/>
        <c:majorUnit val="2"/>
      </c:valAx>
      <c:spPr>
        <a:noFill/>
        <a:ln w="25376">
          <a:noFill/>
        </a:ln>
        <a:effectLst/>
      </c:spPr>
    </c:plotArea>
    <c:legend>
      <c:legendPos val="b"/>
      <c:layout>
        <c:manualLayout>
          <c:xMode val="edge"/>
          <c:yMode val="edge"/>
          <c:x val="0.15636815484591002"/>
          <c:y val="0.84256544081415108"/>
          <c:w val="0.77301387137452715"/>
          <c:h val="0.12550607287449395"/>
        </c:manualLayout>
      </c:layout>
      <c:overlay val="0"/>
      <c:spPr>
        <a:noFill/>
        <a:ln w="3172">
          <a:noFill/>
          <a:prstDash val="solid"/>
        </a:ln>
        <a:effectLst/>
      </c:spPr>
      <c:txPr>
        <a:bodyPr rot="0" spcFirstLastPara="1" vertOverflow="ellipsis" vert="horz" wrap="square" anchor="ctr" anchorCtr="1"/>
        <a:lstStyle/>
        <a:p>
          <a:pPr>
            <a:defRPr sz="619" b="1" i="0" u="none" strike="noStrike" kern="1200" baseline="0">
              <a:solidFill>
                <a:srgbClr val="000000"/>
              </a:solidFill>
              <a:latin typeface="Arial Cyr"/>
              <a:ea typeface="Arial Cyr"/>
              <a:cs typeface="Arial Cyr"/>
            </a:defRPr>
          </a:pPr>
          <a:endParaRPr lang="en-US"/>
        </a:p>
      </c:txPr>
    </c:legend>
    <c:plotVisOnly val="1"/>
    <c:dispBlanksAs val="gap"/>
    <c:showDLblsOverMax val="0"/>
  </c:chart>
  <c:spPr>
    <a:noFill/>
    <a:ln w="6350" cap="flat" cmpd="sng" algn="ctr">
      <a:noFill/>
      <a:prstDash val="solid"/>
      <a:round/>
    </a:ln>
    <a:effectLst/>
  </c:spPr>
  <c:txPr>
    <a:bodyPr/>
    <a:lstStyle/>
    <a:p>
      <a:pPr>
        <a:defRPr sz="874" b="1" i="0" u="none" strike="noStrike" baseline="0">
          <a:solidFill>
            <a:srgbClr val="000000"/>
          </a:solidFill>
          <a:latin typeface="Arial Cyr"/>
          <a:ea typeface="Arial Cyr"/>
          <a:cs typeface="Arial Cy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6072046671022029E-2"/>
          <c:y val="3.9382455241875246E-2"/>
          <c:w val="0.86228482003129892"/>
          <c:h val="0.7094339622641509"/>
        </c:manualLayout>
      </c:layout>
      <c:barChart>
        <c:barDir val="col"/>
        <c:grouping val="clustered"/>
        <c:varyColors val="0"/>
        <c:ser>
          <c:idx val="1"/>
          <c:order val="0"/>
          <c:tx>
            <c:strRef>
              <c:f>Sheet1!$A$2</c:f>
              <c:strCache>
                <c:ptCount val="1"/>
                <c:pt idx="0">
                  <c:v>Credite în monedă naţională</c:v>
                </c:pt>
              </c:strCache>
            </c:strRef>
          </c:tx>
          <c:spPr>
            <a:pattFill prst="lgCheck">
              <a:fgClr>
                <a:schemeClr val="accent5">
                  <a:lumMod val="75000"/>
                </a:schemeClr>
              </a:fgClr>
              <a:bgClr>
                <a:srgbClr xmlns:mc="http://schemas.openxmlformats.org/markup-compatibility/2006" xmlns:a14="http://schemas.microsoft.com/office/drawing/2010/main" val="FFFFFF" mc:Ignorable="a14" a14:legacySpreadsheetColorIndex="9"/>
              </a:bgClr>
            </a:pattFill>
            <a:ln w="12720">
              <a:solidFill>
                <a:srgbClr val="000000"/>
              </a:solidFill>
              <a:prstDash val="solid"/>
            </a:ln>
          </c:spPr>
          <c:invertIfNegative val="0"/>
          <c:cat>
            <c:numRef>
              <c:f>Sheet1!$B$1:$F$1</c:f>
              <c:numCache>
                <c:formatCode>General</c:formatCode>
                <c:ptCount val="5"/>
                <c:pt idx="0">
                  <c:v>2015</c:v>
                </c:pt>
                <c:pt idx="1">
                  <c:v>2016</c:v>
                </c:pt>
                <c:pt idx="2">
                  <c:v>2017</c:v>
                </c:pt>
                <c:pt idx="3">
                  <c:v>2018</c:v>
                </c:pt>
                <c:pt idx="4">
                  <c:v>2019</c:v>
                </c:pt>
              </c:numCache>
            </c:numRef>
          </c:cat>
          <c:val>
            <c:numRef>
              <c:f>Sheet1!$B$2:$F$2</c:f>
              <c:numCache>
                <c:formatCode>General</c:formatCode>
                <c:ptCount val="5"/>
                <c:pt idx="0">
                  <c:v>25622.5</c:v>
                </c:pt>
                <c:pt idx="1">
                  <c:v>23569.4</c:v>
                </c:pt>
                <c:pt idx="2">
                  <c:v>21287.05</c:v>
                </c:pt>
                <c:pt idx="3">
                  <c:v>20504.54</c:v>
                </c:pt>
                <c:pt idx="4">
                  <c:v>22665.200000000001</c:v>
                </c:pt>
              </c:numCache>
            </c:numRef>
          </c:val>
          <c:extLst xmlns:c16r2="http://schemas.microsoft.com/office/drawing/2015/06/chart">
            <c:ext xmlns:c16="http://schemas.microsoft.com/office/drawing/2014/chart" uri="{C3380CC4-5D6E-409C-BE32-E72D297353CC}">
              <c16:uniqueId val="{00000000-529B-4130-A0BA-39CAD0AEDA39}"/>
            </c:ext>
          </c:extLst>
        </c:ser>
        <c:ser>
          <c:idx val="0"/>
          <c:order val="1"/>
          <c:tx>
            <c:strRef>
              <c:f>Sheet1!$A$3</c:f>
              <c:strCache>
                <c:ptCount val="1"/>
                <c:pt idx="0">
                  <c:v>Credite în valută străină</c:v>
                </c:pt>
              </c:strCache>
            </c:strRef>
          </c:tx>
          <c:spPr>
            <a:pattFill prst="zigZag">
              <a:fgClr>
                <a:schemeClr val="accent5">
                  <a:lumMod val="75000"/>
                </a:schemeClr>
              </a:fgClr>
              <a:bgClr>
                <a:srgbClr xmlns:mc="http://schemas.openxmlformats.org/markup-compatibility/2006" xmlns:a14="http://schemas.microsoft.com/office/drawing/2010/main" val="FFFFFF" mc:Ignorable="a14" a14:legacySpreadsheetColorIndex="9"/>
              </a:bgClr>
            </a:pattFill>
            <a:ln w="12720">
              <a:solidFill>
                <a:srgbClr val="000000"/>
              </a:solidFill>
              <a:prstDash val="solid"/>
            </a:ln>
          </c:spPr>
          <c:invertIfNegative val="0"/>
          <c:dPt>
            <c:idx val="0"/>
            <c:invertIfNegative val="0"/>
            <c:bubble3D val="0"/>
            <c:extLst xmlns:c16r2="http://schemas.microsoft.com/office/drawing/2015/06/chart">
              <c:ext xmlns:c16="http://schemas.microsoft.com/office/drawing/2014/chart" uri="{C3380CC4-5D6E-409C-BE32-E72D297353CC}">
                <c16:uniqueId val="{00000001-529B-4130-A0BA-39CAD0AEDA39}"/>
              </c:ext>
            </c:extLst>
          </c:dPt>
          <c:cat>
            <c:numRef>
              <c:f>Sheet1!$B$1:$F$1</c:f>
              <c:numCache>
                <c:formatCode>General</c:formatCode>
                <c:ptCount val="5"/>
                <c:pt idx="0">
                  <c:v>2015</c:v>
                </c:pt>
                <c:pt idx="1">
                  <c:v>2016</c:v>
                </c:pt>
                <c:pt idx="2">
                  <c:v>2017</c:v>
                </c:pt>
                <c:pt idx="3">
                  <c:v>2018</c:v>
                </c:pt>
                <c:pt idx="4">
                  <c:v>2019</c:v>
                </c:pt>
              </c:numCache>
            </c:numRef>
          </c:cat>
          <c:val>
            <c:numRef>
              <c:f>Sheet1!$B$3:$F$3</c:f>
              <c:numCache>
                <c:formatCode>General</c:formatCode>
                <c:ptCount val="5"/>
                <c:pt idx="0">
                  <c:v>17382.2</c:v>
                </c:pt>
                <c:pt idx="1">
                  <c:v>19224.97</c:v>
                </c:pt>
                <c:pt idx="2">
                  <c:v>17836.27</c:v>
                </c:pt>
                <c:pt idx="3">
                  <c:v>17196.2</c:v>
                </c:pt>
                <c:pt idx="4">
                  <c:v>16630.87</c:v>
                </c:pt>
              </c:numCache>
            </c:numRef>
          </c:val>
          <c:extLst xmlns:c16r2="http://schemas.microsoft.com/office/drawing/2015/06/chart">
            <c:ext xmlns:c16="http://schemas.microsoft.com/office/drawing/2014/chart" uri="{C3380CC4-5D6E-409C-BE32-E72D297353CC}">
              <c16:uniqueId val="{00000002-529B-4130-A0BA-39CAD0AEDA39}"/>
            </c:ext>
          </c:extLst>
        </c:ser>
        <c:dLbls>
          <c:showLegendKey val="0"/>
          <c:showVal val="0"/>
          <c:showCatName val="0"/>
          <c:showSerName val="0"/>
          <c:showPercent val="0"/>
          <c:showBubbleSize val="0"/>
        </c:dLbls>
        <c:gapWidth val="150"/>
        <c:axId val="687728112"/>
        <c:axId val="687728504"/>
      </c:barChart>
      <c:lineChart>
        <c:grouping val="standard"/>
        <c:varyColors val="0"/>
        <c:ser>
          <c:idx val="2"/>
          <c:order val="2"/>
          <c:tx>
            <c:strRef>
              <c:f>Sheet1!$A$4</c:f>
              <c:strCache>
                <c:ptCount val="1"/>
                <c:pt idx="0">
                  <c:v>Rata dobînzii la credite în monedă naţională</c:v>
                </c:pt>
              </c:strCache>
            </c:strRef>
          </c:tx>
          <c:spPr>
            <a:ln w="12720">
              <a:solidFill>
                <a:schemeClr val="accent5">
                  <a:lumMod val="75000"/>
                </a:schemeClr>
              </a:solidFill>
              <a:prstDash val="solid"/>
            </a:ln>
          </c:spPr>
          <c:marker>
            <c:symbol val="triangle"/>
            <c:size val="5"/>
            <c:spPr>
              <a:solidFill>
                <a:srgbClr val="000000"/>
              </a:solidFill>
              <a:ln>
                <a:solidFill>
                  <a:srgbClr val="000000"/>
                </a:solidFill>
                <a:prstDash val="solid"/>
              </a:ln>
            </c:spPr>
          </c:marker>
          <c:dLbls>
            <c:dLbl>
              <c:idx val="0"/>
              <c:layout>
                <c:manualLayout>
                  <c:x val="-6.6923480718756312E-3"/>
                  <c:y val="-4.842976149720413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29B-4130-A0BA-39CAD0AEDA39}"/>
                </c:ext>
                <c:ext xmlns:c15="http://schemas.microsoft.com/office/drawing/2012/chart" uri="{CE6537A1-D6FC-4f65-9D91-7224C49458BB}"/>
              </c:extLst>
            </c:dLbl>
            <c:dLbl>
              <c:idx val="1"/>
              <c:layout>
                <c:manualLayout>
                  <c:x val="-2.6100394655908188E-2"/>
                  <c:y val="-4.725134967885111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29B-4130-A0BA-39CAD0AEDA39}"/>
                </c:ext>
                <c:ext xmlns:c15="http://schemas.microsoft.com/office/drawing/2012/chart" uri="{CE6537A1-D6FC-4f65-9D91-7224C49458BB}"/>
              </c:extLst>
            </c:dLbl>
            <c:dLbl>
              <c:idx val="2"/>
              <c:layout>
                <c:manualLayout>
                  <c:x val="-3.9512860892388452E-2"/>
                  <c:y val="-4.842976149720415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29B-4130-A0BA-39CAD0AEDA39}"/>
                </c:ext>
                <c:ext xmlns:c15="http://schemas.microsoft.com/office/drawing/2012/chart" uri="{CE6537A1-D6FC-4f65-9D91-7224C49458BB}"/>
              </c:extLst>
            </c:dLbl>
            <c:dLbl>
              <c:idx val="3"/>
              <c:layout>
                <c:manualLayout>
                  <c:x val="-3.5410296789824422E-2"/>
                  <c:y val="-4.359884362280801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29B-4130-A0BA-39CAD0AEDA39}"/>
                </c:ext>
                <c:ext xmlns:c15="http://schemas.microsoft.com/office/drawing/2012/chart" uri="{CE6537A1-D6FC-4f65-9D91-7224C49458BB}"/>
              </c:extLst>
            </c:dLbl>
            <c:dLbl>
              <c:idx val="4"/>
              <c:layout>
                <c:manualLayout>
                  <c:x val="-4.7487987078538262E-3"/>
                  <c:y val="-5.809159724599646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529B-4130-A0BA-39CAD0AEDA39}"/>
                </c:ext>
                <c:ext xmlns:c15="http://schemas.microsoft.com/office/drawing/2012/chart" uri="{CE6537A1-D6FC-4f65-9D91-7224C49458BB}"/>
              </c:extLst>
            </c:dLbl>
            <c:spPr>
              <a:solidFill>
                <a:schemeClr val="bg1"/>
              </a:solidFill>
              <a:ln>
                <a:noFill/>
              </a:ln>
              <a:effectLst/>
            </c:spPr>
            <c:txPr>
              <a:bodyPr wrap="square" lIns="38100" tIns="19050" rIns="38100" bIns="19050" anchor="ctr">
                <a:spAutoFit/>
              </a:bodyPr>
              <a:lstStyle/>
              <a:p>
                <a:pPr>
                  <a:defRPr sz="700" b="1"/>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Sheet1!$B$1:$F$1</c:f>
              <c:numCache>
                <c:formatCode>General</c:formatCode>
                <c:ptCount val="5"/>
                <c:pt idx="0">
                  <c:v>2015</c:v>
                </c:pt>
                <c:pt idx="1">
                  <c:v>2016</c:v>
                </c:pt>
                <c:pt idx="2">
                  <c:v>2017</c:v>
                </c:pt>
                <c:pt idx="3">
                  <c:v>2018</c:v>
                </c:pt>
                <c:pt idx="4">
                  <c:v>2019</c:v>
                </c:pt>
              </c:numCache>
            </c:numRef>
          </c:cat>
          <c:val>
            <c:numRef>
              <c:f>Sheet1!$B$4:$F$4</c:f>
              <c:numCache>
                <c:formatCode>0.00</c:formatCode>
                <c:ptCount val="5"/>
                <c:pt idx="0">
                  <c:v>11.6</c:v>
                </c:pt>
                <c:pt idx="1">
                  <c:v>16.079999999999998</c:v>
                </c:pt>
                <c:pt idx="2">
                  <c:v>11.55</c:v>
                </c:pt>
                <c:pt idx="3">
                  <c:v>9.8000000000000007</c:v>
                </c:pt>
                <c:pt idx="4">
                  <c:v>8.34</c:v>
                </c:pt>
              </c:numCache>
            </c:numRef>
          </c:val>
          <c:smooth val="0"/>
          <c:extLst xmlns:c16r2="http://schemas.microsoft.com/office/drawing/2015/06/chart">
            <c:ext xmlns:c16="http://schemas.microsoft.com/office/drawing/2014/chart" uri="{C3380CC4-5D6E-409C-BE32-E72D297353CC}">
              <c16:uniqueId val="{00000008-529B-4130-A0BA-39CAD0AEDA39}"/>
            </c:ext>
          </c:extLst>
        </c:ser>
        <c:ser>
          <c:idx val="3"/>
          <c:order val="3"/>
          <c:tx>
            <c:strRef>
              <c:f>Sheet1!$A$5</c:f>
              <c:strCache>
                <c:ptCount val="1"/>
                <c:pt idx="0">
                  <c:v>Rata dobînzii la credite în valută străină</c:v>
                </c:pt>
              </c:strCache>
            </c:strRef>
          </c:tx>
          <c:spPr>
            <a:ln w="25439">
              <a:solidFill>
                <a:schemeClr val="accent5">
                  <a:lumMod val="75000"/>
                </a:schemeClr>
              </a:solidFill>
              <a:prstDash val="sysDash"/>
            </a:ln>
          </c:spPr>
          <c:marker>
            <c:symbol val="square"/>
            <c:size val="5"/>
            <c:spPr>
              <a:solidFill>
                <a:srgbClr val="000000"/>
              </a:solidFill>
              <a:ln>
                <a:solidFill>
                  <a:srgbClr val="000000"/>
                </a:solidFill>
                <a:prstDash val="solid"/>
              </a:ln>
            </c:spPr>
          </c:marker>
          <c:dLbls>
            <c:dLbl>
              <c:idx val="0"/>
              <c:layout>
                <c:manualLayout>
                  <c:x val="-1.090264486169998E-2"/>
                  <c:y val="-4.359884362280801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529B-4130-A0BA-39CAD0AEDA39}"/>
                </c:ext>
                <c:ext xmlns:c15="http://schemas.microsoft.com/office/drawing/2012/chart" uri="{CE6537A1-D6FC-4f65-9D91-7224C49458BB}"/>
              </c:extLst>
            </c:dLbl>
            <c:dLbl>
              <c:idx val="1"/>
              <c:layout>
                <c:manualLayout>
                  <c:x val="-4.7487987078538262E-3"/>
                  <c:y val="-3.876792574841188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529B-4130-A0BA-39CAD0AEDA39}"/>
                </c:ext>
                <c:ext xmlns:c15="http://schemas.microsoft.com/office/drawing/2012/chart" uri="{CE6537A1-D6FC-4f65-9D91-7224C49458BB}"/>
              </c:extLst>
            </c:dLbl>
            <c:dLbl>
              <c:idx val="2"/>
              <c:layout>
                <c:manualLayout>
                  <c:x val="-4.7487987078538262E-3"/>
                  <c:y val="-3.876792574841188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529B-4130-A0BA-39CAD0AEDA39}"/>
                </c:ext>
                <c:ext xmlns:c15="http://schemas.microsoft.com/office/drawing/2012/chart" uri="{CE6537A1-D6FC-4f65-9D91-7224C49458BB}"/>
              </c:extLst>
            </c:dLbl>
            <c:dLbl>
              <c:idx val="3"/>
              <c:layout>
                <c:manualLayout>
                  <c:x val="-8.8513628104180796E-3"/>
                  <c:y val="-3.876792574841188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529B-4130-A0BA-39CAD0AEDA39}"/>
                </c:ext>
                <c:ext xmlns:c15="http://schemas.microsoft.com/office/drawing/2012/chart" uri="{CE6537A1-D6FC-4f65-9D91-7224C49458BB}"/>
              </c:extLst>
            </c:dLbl>
            <c:dLbl>
              <c:idx val="4"/>
              <c:layout>
                <c:manualLayout>
                  <c:x val="-8.8513628104179287E-3"/>
                  <c:y val="-4.842976149720415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529B-4130-A0BA-39CAD0AEDA39}"/>
                </c:ext>
                <c:ext xmlns:c15="http://schemas.microsoft.com/office/drawing/2012/chart" uri="{CE6537A1-D6FC-4f65-9D91-7224C49458BB}"/>
              </c:extLst>
            </c:dLbl>
            <c:spPr>
              <a:solidFill>
                <a:schemeClr val="bg1"/>
              </a:solidFill>
              <a:ln>
                <a:noFill/>
              </a:ln>
              <a:effectLst/>
            </c:spPr>
            <c:txPr>
              <a:bodyPr wrap="square" lIns="38100" tIns="19050" rIns="38100" bIns="19050" anchor="ctr">
                <a:spAutoFit/>
              </a:bodyPr>
              <a:lstStyle/>
              <a:p>
                <a:pPr>
                  <a:defRPr sz="700" b="1" i="1"/>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Sheet1!$B$1:$F$1</c:f>
              <c:numCache>
                <c:formatCode>General</c:formatCode>
                <c:ptCount val="5"/>
                <c:pt idx="0">
                  <c:v>2015</c:v>
                </c:pt>
                <c:pt idx="1">
                  <c:v>2016</c:v>
                </c:pt>
                <c:pt idx="2">
                  <c:v>2017</c:v>
                </c:pt>
                <c:pt idx="3">
                  <c:v>2018</c:v>
                </c:pt>
                <c:pt idx="4">
                  <c:v>2019</c:v>
                </c:pt>
              </c:numCache>
            </c:numRef>
          </c:cat>
          <c:val>
            <c:numRef>
              <c:f>Sheet1!$B$5:$F$5</c:f>
              <c:numCache>
                <c:formatCode>0.00</c:formatCode>
                <c:ptCount val="5"/>
                <c:pt idx="0">
                  <c:v>7.49</c:v>
                </c:pt>
                <c:pt idx="1">
                  <c:v>6.45</c:v>
                </c:pt>
                <c:pt idx="2">
                  <c:v>5.26</c:v>
                </c:pt>
                <c:pt idx="3">
                  <c:v>4.9400000000000004</c:v>
                </c:pt>
                <c:pt idx="4">
                  <c:v>4.38</c:v>
                </c:pt>
              </c:numCache>
            </c:numRef>
          </c:val>
          <c:smooth val="0"/>
          <c:extLst xmlns:c16r2="http://schemas.microsoft.com/office/drawing/2015/06/chart">
            <c:ext xmlns:c16="http://schemas.microsoft.com/office/drawing/2014/chart" uri="{C3380CC4-5D6E-409C-BE32-E72D297353CC}">
              <c16:uniqueId val="{0000000E-529B-4130-A0BA-39CAD0AEDA39}"/>
            </c:ext>
          </c:extLst>
        </c:ser>
        <c:dLbls>
          <c:showLegendKey val="0"/>
          <c:showVal val="0"/>
          <c:showCatName val="0"/>
          <c:showSerName val="0"/>
          <c:showPercent val="0"/>
          <c:showBubbleSize val="0"/>
        </c:dLbls>
        <c:marker val="1"/>
        <c:smooth val="0"/>
        <c:axId val="687728896"/>
        <c:axId val="687729288"/>
      </c:lineChart>
      <c:catAx>
        <c:axId val="687728112"/>
        <c:scaling>
          <c:orientation val="minMax"/>
        </c:scaling>
        <c:delete val="0"/>
        <c:axPos val="b"/>
        <c:numFmt formatCode="General" sourceLinked="1"/>
        <c:majorTickMark val="out"/>
        <c:minorTickMark val="none"/>
        <c:tickLblPos val="nextTo"/>
        <c:spPr>
          <a:ln w="3180">
            <a:solidFill>
              <a:srgbClr val="000000"/>
            </a:solidFill>
            <a:prstDash val="solid"/>
          </a:ln>
        </c:spPr>
        <c:txPr>
          <a:bodyPr rot="0" vert="horz"/>
          <a:lstStyle/>
          <a:p>
            <a:pPr>
              <a:defRPr sz="701" b="1" i="0" u="none" strike="noStrike" baseline="0">
                <a:solidFill>
                  <a:srgbClr val="000000"/>
                </a:solidFill>
                <a:latin typeface="Arial"/>
                <a:ea typeface="Arial"/>
                <a:cs typeface="Arial"/>
              </a:defRPr>
            </a:pPr>
            <a:endParaRPr lang="en-US"/>
          </a:p>
        </c:txPr>
        <c:crossAx val="687728504"/>
        <c:crosses val="autoZero"/>
        <c:auto val="0"/>
        <c:lblAlgn val="ctr"/>
        <c:lblOffset val="100"/>
        <c:tickLblSkip val="1"/>
        <c:tickMarkSkip val="1"/>
        <c:noMultiLvlLbl val="0"/>
      </c:catAx>
      <c:valAx>
        <c:axId val="687728504"/>
        <c:scaling>
          <c:orientation val="minMax"/>
          <c:max val="30000"/>
        </c:scaling>
        <c:delete val="0"/>
        <c:axPos val="l"/>
        <c:title>
          <c:tx>
            <c:rich>
              <a:bodyPr/>
              <a:lstStyle/>
              <a:p>
                <a:pPr>
                  <a:defRPr sz="701" b="1" i="0" u="none" strike="noStrike" baseline="0">
                    <a:solidFill>
                      <a:srgbClr val="000000"/>
                    </a:solidFill>
                    <a:latin typeface="Arial"/>
                    <a:ea typeface="Arial"/>
                    <a:cs typeface="Arial"/>
                  </a:defRPr>
                </a:pPr>
                <a:r>
                  <a:rPr lang="en-US"/>
                  <a:t>mil. lei</a:t>
                </a:r>
              </a:p>
            </c:rich>
          </c:tx>
          <c:layout>
            <c:manualLayout>
              <c:xMode val="edge"/>
              <c:yMode val="edge"/>
              <c:x val="1.5649452269170579E-3"/>
              <c:y val="0.29433962264150942"/>
            </c:manualLayout>
          </c:layout>
          <c:overlay val="0"/>
          <c:spPr>
            <a:noFill/>
            <a:ln w="25439">
              <a:noFill/>
            </a:ln>
          </c:spPr>
        </c:title>
        <c:numFmt formatCode="0" sourceLinked="0"/>
        <c:majorTickMark val="out"/>
        <c:minorTickMark val="none"/>
        <c:tickLblPos val="nextTo"/>
        <c:spPr>
          <a:ln w="3180">
            <a:solidFill>
              <a:srgbClr val="000000"/>
            </a:solidFill>
            <a:prstDash val="solid"/>
          </a:ln>
        </c:spPr>
        <c:txPr>
          <a:bodyPr rot="0" vert="horz"/>
          <a:lstStyle/>
          <a:p>
            <a:pPr>
              <a:defRPr sz="701" b="1" i="0" u="none" strike="noStrike" baseline="0">
                <a:solidFill>
                  <a:srgbClr val="000000"/>
                </a:solidFill>
                <a:latin typeface="Arial"/>
                <a:ea typeface="Arial"/>
                <a:cs typeface="Arial"/>
              </a:defRPr>
            </a:pPr>
            <a:endParaRPr lang="en-US"/>
          </a:p>
        </c:txPr>
        <c:crossAx val="687728112"/>
        <c:crosses val="autoZero"/>
        <c:crossBetween val="between"/>
        <c:majorUnit val="5000"/>
      </c:valAx>
      <c:catAx>
        <c:axId val="687728896"/>
        <c:scaling>
          <c:orientation val="minMax"/>
        </c:scaling>
        <c:delete val="1"/>
        <c:axPos val="b"/>
        <c:numFmt formatCode="General" sourceLinked="1"/>
        <c:majorTickMark val="out"/>
        <c:minorTickMark val="none"/>
        <c:tickLblPos val="nextTo"/>
        <c:crossAx val="687729288"/>
        <c:crosses val="autoZero"/>
        <c:auto val="0"/>
        <c:lblAlgn val="ctr"/>
        <c:lblOffset val="100"/>
        <c:noMultiLvlLbl val="0"/>
      </c:catAx>
      <c:valAx>
        <c:axId val="687729288"/>
        <c:scaling>
          <c:orientation val="minMax"/>
          <c:max val="18"/>
          <c:min val="0"/>
        </c:scaling>
        <c:delete val="0"/>
        <c:axPos val="r"/>
        <c:title>
          <c:tx>
            <c:rich>
              <a:bodyPr rot="0" vert="horz"/>
              <a:lstStyle/>
              <a:p>
                <a:pPr algn="ctr">
                  <a:defRPr sz="801" b="1" i="0" u="none" strike="noStrike" baseline="0">
                    <a:solidFill>
                      <a:srgbClr val="000000"/>
                    </a:solidFill>
                    <a:latin typeface="Arial"/>
                    <a:ea typeface="Arial"/>
                    <a:cs typeface="Arial"/>
                  </a:defRPr>
                </a:pPr>
                <a:r>
                  <a:rPr lang="en-US"/>
                  <a:t>%</a:t>
                </a:r>
              </a:p>
            </c:rich>
          </c:tx>
          <c:layout>
            <c:manualLayout>
              <c:xMode val="edge"/>
              <c:yMode val="edge"/>
              <c:x val="0.97809076682316121"/>
              <c:y val="0.3471698113207547"/>
            </c:manualLayout>
          </c:layout>
          <c:overlay val="0"/>
          <c:spPr>
            <a:noFill/>
            <a:ln w="25439">
              <a:noFill/>
            </a:ln>
          </c:spPr>
        </c:title>
        <c:numFmt formatCode="0" sourceLinked="0"/>
        <c:majorTickMark val="cross"/>
        <c:minorTickMark val="none"/>
        <c:tickLblPos val="nextTo"/>
        <c:spPr>
          <a:ln w="3180">
            <a:solidFill>
              <a:srgbClr val="000000"/>
            </a:solidFill>
            <a:prstDash val="solid"/>
          </a:ln>
        </c:spPr>
        <c:txPr>
          <a:bodyPr rot="0" vert="horz"/>
          <a:lstStyle/>
          <a:p>
            <a:pPr>
              <a:defRPr sz="701" b="1" i="0" u="none" strike="noStrike" baseline="0">
                <a:solidFill>
                  <a:srgbClr val="000000"/>
                </a:solidFill>
                <a:latin typeface="Arial"/>
                <a:ea typeface="Arial"/>
                <a:cs typeface="Arial"/>
              </a:defRPr>
            </a:pPr>
            <a:endParaRPr lang="en-US"/>
          </a:p>
        </c:txPr>
        <c:crossAx val="687728896"/>
        <c:crosses val="max"/>
        <c:crossBetween val="between"/>
        <c:majorUnit val="5"/>
        <c:minorUnit val="5"/>
      </c:valAx>
      <c:spPr>
        <a:noFill/>
        <a:ln w="25439">
          <a:noFill/>
        </a:ln>
      </c:spPr>
    </c:plotArea>
    <c:legend>
      <c:legendPos val="b"/>
      <c:layout>
        <c:manualLayout>
          <c:xMode val="edge"/>
          <c:yMode val="edge"/>
          <c:x val="0.17840375586854459"/>
          <c:y val="0.82929902054926063"/>
          <c:w val="0.77621283255086071"/>
          <c:h val="0.17070097945073942"/>
        </c:manualLayout>
      </c:layout>
      <c:overlay val="0"/>
      <c:spPr>
        <a:solidFill>
          <a:srgbClr val="FFFFFF"/>
        </a:solidFill>
        <a:ln w="25439">
          <a:noFill/>
        </a:ln>
      </c:spPr>
      <c:txPr>
        <a:bodyPr/>
        <a:lstStyle/>
        <a:p>
          <a:pPr>
            <a:defRPr sz="641"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1002" b="0" i="0" u="none" strike="noStrike" baseline="0">
          <a:solidFill>
            <a:srgbClr val="000000"/>
          </a:solidFill>
          <a:latin typeface="Arial"/>
          <a:ea typeface="Arial"/>
          <a:cs typeface="Aria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5645188534601489E-2"/>
          <c:y val="2.5552552199631762E-2"/>
          <c:w val="0.95696202531645558"/>
          <c:h val="0.62523406589101749"/>
        </c:manualLayout>
      </c:layout>
      <c:lineChart>
        <c:grouping val="standard"/>
        <c:varyColors val="0"/>
        <c:ser>
          <c:idx val="2"/>
          <c:order val="0"/>
          <c:tx>
            <c:strRef>
              <c:f>Sheet1!$A$2</c:f>
              <c:strCache>
                <c:ptCount val="1"/>
                <c:pt idx="0">
                  <c:v>Rata de bază</c:v>
                </c:pt>
              </c:strCache>
            </c:strRef>
          </c:tx>
          <c:spPr>
            <a:ln w="12700">
              <a:solidFill>
                <a:srgbClr val="000000"/>
              </a:solidFill>
              <a:prstDash val="solid"/>
            </a:ln>
          </c:spPr>
          <c:marker>
            <c:symbol val="triangle"/>
            <c:size val="4"/>
            <c:spPr>
              <a:solidFill>
                <a:srgbClr val="000000"/>
              </a:solidFill>
              <a:ln>
                <a:solidFill>
                  <a:srgbClr val="000000"/>
                </a:solidFill>
                <a:prstDash val="solid"/>
              </a:ln>
            </c:spPr>
          </c:marker>
          <c:dLbls>
            <c:dLbl>
              <c:idx val="0"/>
              <c:layout>
                <c:manualLayout>
                  <c:x val="-2.7061464493902787E-2"/>
                  <c:y val="-4.6659123022573273E-2"/>
                </c:manualLayout>
              </c:layout>
              <c:numFmt formatCode="0.0" sourceLinked="0"/>
              <c:spPr>
                <a:noFill/>
                <a:ln w="25401">
                  <a:noFill/>
                </a:ln>
              </c:spPr>
              <c:txPr>
                <a:bodyPr/>
                <a:lstStyle/>
                <a:p>
                  <a:pPr>
                    <a:defRPr sz="800"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B17-4920-84FA-F5B7A12216CE}"/>
                </c:ext>
                <c:ext xmlns:c15="http://schemas.microsoft.com/office/drawing/2012/chart" uri="{CE6537A1-D6FC-4f65-9D91-7224C49458BB}"/>
              </c:extLst>
            </c:dLbl>
            <c:dLbl>
              <c:idx val="1"/>
              <c:layout>
                <c:manualLayout>
                  <c:x val="-2.9787853137451692E-2"/>
                  <c:y val="-5.0300260148538195E-2"/>
                </c:manualLayout>
              </c:layout>
              <c:numFmt formatCode="0.0" sourceLinked="0"/>
              <c:spPr>
                <a:noFill/>
                <a:ln w="25401">
                  <a:noFill/>
                </a:ln>
              </c:spPr>
              <c:txPr>
                <a:bodyPr/>
                <a:lstStyle/>
                <a:p>
                  <a:pPr>
                    <a:defRPr sz="800"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B17-4920-84FA-F5B7A12216CE}"/>
                </c:ext>
                <c:ext xmlns:c15="http://schemas.microsoft.com/office/drawing/2012/chart" uri="{CE6537A1-D6FC-4f65-9D91-7224C49458BB}"/>
              </c:extLst>
            </c:dLbl>
            <c:dLbl>
              <c:idx val="2"/>
              <c:layout>
                <c:manualLayout>
                  <c:x val="-2.8716773426570197E-2"/>
                  <c:y val="-5.0300260148538195E-2"/>
                </c:manualLayout>
              </c:layout>
              <c:numFmt formatCode="0.0" sourceLinked="0"/>
              <c:spPr>
                <a:noFill/>
                <a:ln w="25401">
                  <a:noFill/>
                </a:ln>
              </c:spPr>
              <c:txPr>
                <a:bodyPr/>
                <a:lstStyle/>
                <a:p>
                  <a:pPr>
                    <a:defRPr sz="800"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B17-4920-84FA-F5B7A12216CE}"/>
                </c:ext>
                <c:ext xmlns:c15="http://schemas.microsoft.com/office/drawing/2012/chart" uri="{CE6537A1-D6FC-4f65-9D91-7224C49458BB}"/>
              </c:extLst>
            </c:dLbl>
            <c:dLbl>
              <c:idx val="3"/>
              <c:layout>
                <c:manualLayout>
                  <c:x val="-2.2582402576448224E-2"/>
                  <c:y val="-5.3258840030195015E-2"/>
                </c:manualLayout>
              </c:layout>
              <c:numFmt formatCode="0.0" sourceLinked="0"/>
              <c:spPr>
                <a:noFill/>
                <a:ln w="25401">
                  <a:noFill/>
                </a:ln>
              </c:spPr>
              <c:txPr>
                <a:bodyPr/>
                <a:lstStyle/>
                <a:p>
                  <a:pPr>
                    <a:defRPr sz="800"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B17-4920-84FA-F5B7A12216CE}"/>
                </c:ext>
                <c:ext xmlns:c15="http://schemas.microsoft.com/office/drawing/2012/chart" uri="{CE6537A1-D6FC-4f65-9D91-7224C49458BB}"/>
              </c:extLst>
            </c:dLbl>
            <c:dLbl>
              <c:idx val="4"/>
              <c:layout>
                <c:manualLayout>
                  <c:x val="-2.2777145650376862E-2"/>
                  <c:y val="-4.7341680266881431E-2"/>
                </c:manualLayout>
              </c:layout>
              <c:numFmt formatCode="0.0" sourceLinked="0"/>
              <c:spPr>
                <a:noFill/>
                <a:ln w="25401">
                  <a:noFill/>
                </a:ln>
              </c:spPr>
              <c:txPr>
                <a:bodyPr/>
                <a:lstStyle/>
                <a:p>
                  <a:pPr>
                    <a:defRPr sz="800"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B17-4920-84FA-F5B7A12216CE}"/>
                </c:ext>
                <c:ext xmlns:c15="http://schemas.microsoft.com/office/drawing/2012/chart" uri="{CE6537A1-D6FC-4f65-9D91-7224C49458BB}"/>
              </c:extLst>
            </c:dLbl>
            <c:dLbl>
              <c:idx val="5"/>
              <c:layout>
                <c:manualLayout>
                  <c:x val="-2.2971888724305556E-2"/>
                  <c:y val="-4.4383100385224583E-2"/>
                </c:manualLayout>
              </c:layout>
              <c:numFmt formatCode="0.0" sourceLinked="0"/>
              <c:spPr>
                <a:noFill/>
                <a:ln w="25401">
                  <a:noFill/>
                </a:ln>
              </c:spPr>
              <c:txPr>
                <a:bodyPr/>
                <a:lstStyle/>
                <a:p>
                  <a:pPr>
                    <a:defRPr sz="800"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B17-4920-84FA-F5B7A12216CE}"/>
                </c:ext>
                <c:ext xmlns:c15="http://schemas.microsoft.com/office/drawing/2012/chart" uri="{CE6537A1-D6FC-4f65-9D91-7224C49458BB}"/>
              </c:extLst>
            </c:dLbl>
            <c:dLbl>
              <c:idx val="6"/>
              <c:layout>
                <c:manualLayout>
                  <c:x val="-2.3166465268574177E-2"/>
                  <c:y val="-3.2094654834812317E-2"/>
                </c:manualLayout>
              </c:layout>
              <c:numFmt formatCode="0.0" sourceLinked="0"/>
              <c:spPr>
                <a:noFill/>
                <a:ln w="25401">
                  <a:noFill/>
                </a:ln>
              </c:spPr>
              <c:txPr>
                <a:bodyPr/>
                <a:lstStyle/>
                <a:p>
                  <a:pPr>
                    <a:defRPr sz="800"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B17-4920-84FA-F5B7A12216CE}"/>
                </c:ext>
                <c:ext xmlns:c15="http://schemas.microsoft.com/office/drawing/2012/chart" uri="{CE6537A1-D6FC-4f65-9D91-7224C49458BB}"/>
              </c:extLst>
            </c:dLbl>
            <c:dLbl>
              <c:idx val="9"/>
              <c:layout>
                <c:manualLayout>
                  <c:x val="-2.2485038235209975E-2"/>
                  <c:y val="-4.4383100385224583E-2"/>
                </c:manualLayout>
              </c:layout>
              <c:numFmt formatCode="0.0" sourceLinked="0"/>
              <c:spPr>
                <a:noFill/>
                <a:ln w="25401">
                  <a:noFill/>
                </a:ln>
              </c:spPr>
              <c:txPr>
                <a:bodyPr/>
                <a:lstStyle/>
                <a:p>
                  <a:pPr>
                    <a:defRPr sz="800"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B17-4920-84FA-F5B7A12216CE}"/>
                </c:ext>
                <c:ext xmlns:c15="http://schemas.microsoft.com/office/drawing/2012/chart" uri="{CE6537A1-D6FC-4f65-9D91-7224C49458BB}"/>
              </c:extLst>
            </c:dLbl>
            <c:numFmt formatCode="0.0" sourceLinked="0"/>
            <c:spPr>
              <a:noFill/>
              <a:ln w="25401">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Sheet1!$B$1:$M$1</c:f>
              <c:strCache>
                <c:ptCount val="12"/>
                <c:pt idx="0">
                  <c:v>Ian.    2018</c:v>
                </c:pt>
                <c:pt idx="1">
                  <c:v>Feb.   </c:v>
                </c:pt>
                <c:pt idx="2">
                  <c:v>Mar.</c:v>
                </c:pt>
                <c:pt idx="3">
                  <c:v>Apr.</c:v>
                </c:pt>
                <c:pt idx="4">
                  <c:v>Mai    </c:v>
                </c:pt>
                <c:pt idx="5">
                  <c:v>Iun. </c:v>
                </c:pt>
                <c:pt idx="6">
                  <c:v>Iul.</c:v>
                </c:pt>
                <c:pt idx="7">
                  <c:v>Aug.</c:v>
                </c:pt>
                <c:pt idx="8">
                  <c:v>Sep.</c:v>
                </c:pt>
                <c:pt idx="9">
                  <c:v>Oct.</c:v>
                </c:pt>
                <c:pt idx="10">
                  <c:v>Noiem.</c:v>
                </c:pt>
                <c:pt idx="11">
                  <c:v>Dec.</c:v>
                </c:pt>
              </c:strCache>
            </c:strRef>
          </c:cat>
          <c:val>
            <c:numRef>
              <c:f>Sheet1!$B$2:$M$2</c:f>
              <c:numCache>
                <c:formatCode>0.0</c:formatCode>
                <c:ptCount val="12"/>
                <c:pt idx="0">
                  <c:v>6.5</c:v>
                </c:pt>
                <c:pt idx="1">
                  <c:v>6.5</c:v>
                </c:pt>
                <c:pt idx="2">
                  <c:v>6.5</c:v>
                </c:pt>
                <c:pt idx="3">
                  <c:v>6.5</c:v>
                </c:pt>
                <c:pt idx="4">
                  <c:v>6.5</c:v>
                </c:pt>
                <c:pt idx="5">
                  <c:v>6.5</c:v>
                </c:pt>
                <c:pt idx="6">
                  <c:v>6.5</c:v>
                </c:pt>
                <c:pt idx="7">
                  <c:v>6.5</c:v>
                </c:pt>
                <c:pt idx="8">
                  <c:v>6.5</c:v>
                </c:pt>
                <c:pt idx="9">
                  <c:v>6.5</c:v>
                </c:pt>
                <c:pt idx="10">
                  <c:v>6.5</c:v>
                </c:pt>
                <c:pt idx="11">
                  <c:v>6.5</c:v>
                </c:pt>
              </c:numCache>
            </c:numRef>
          </c:val>
          <c:smooth val="0"/>
          <c:extLst xmlns:c16r2="http://schemas.microsoft.com/office/drawing/2015/06/chart">
            <c:ext xmlns:c16="http://schemas.microsoft.com/office/drawing/2014/chart" uri="{C3380CC4-5D6E-409C-BE32-E72D297353CC}">
              <c16:uniqueId val="{00000008-2B17-4920-84FA-F5B7A12216CE}"/>
            </c:ext>
          </c:extLst>
        </c:ser>
        <c:ser>
          <c:idx val="0"/>
          <c:order val="1"/>
          <c:tx>
            <c:strRef>
              <c:f>Sheet1!$A$3</c:f>
              <c:strCache>
                <c:ptCount val="1"/>
                <c:pt idx="0">
                  <c:v>Rata dobînzii la depozitele în lei</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cat>
            <c:strRef>
              <c:f>Sheet1!$B$1:$M$1</c:f>
              <c:strCache>
                <c:ptCount val="12"/>
                <c:pt idx="0">
                  <c:v>Ian.    2018</c:v>
                </c:pt>
                <c:pt idx="1">
                  <c:v>Feb.   </c:v>
                </c:pt>
                <c:pt idx="2">
                  <c:v>Mar.</c:v>
                </c:pt>
                <c:pt idx="3">
                  <c:v>Apr.</c:v>
                </c:pt>
                <c:pt idx="4">
                  <c:v>Mai    </c:v>
                </c:pt>
                <c:pt idx="5">
                  <c:v>Iun. </c:v>
                </c:pt>
                <c:pt idx="6">
                  <c:v>Iul.</c:v>
                </c:pt>
                <c:pt idx="7">
                  <c:v>Aug.</c:v>
                </c:pt>
                <c:pt idx="8">
                  <c:v>Sep.</c:v>
                </c:pt>
                <c:pt idx="9">
                  <c:v>Oct.</c:v>
                </c:pt>
                <c:pt idx="10">
                  <c:v>Noiem.</c:v>
                </c:pt>
                <c:pt idx="11">
                  <c:v>Dec.</c:v>
                </c:pt>
              </c:strCache>
            </c:strRef>
          </c:cat>
          <c:val>
            <c:numRef>
              <c:f>Sheet1!$B$3:$M$3</c:f>
              <c:numCache>
                <c:formatCode>0.00</c:formatCode>
                <c:ptCount val="12"/>
                <c:pt idx="0">
                  <c:v>5.17</c:v>
                </c:pt>
                <c:pt idx="1">
                  <c:v>4.54</c:v>
                </c:pt>
                <c:pt idx="2">
                  <c:v>4.66</c:v>
                </c:pt>
                <c:pt idx="3">
                  <c:v>4.46</c:v>
                </c:pt>
                <c:pt idx="4">
                  <c:v>4.2</c:v>
                </c:pt>
                <c:pt idx="5">
                  <c:v>4.58</c:v>
                </c:pt>
                <c:pt idx="6">
                  <c:v>4.4400000000000004</c:v>
                </c:pt>
                <c:pt idx="7">
                  <c:v>4.1900000000000004</c:v>
                </c:pt>
                <c:pt idx="8">
                  <c:v>4.51</c:v>
                </c:pt>
                <c:pt idx="9" formatCode="General">
                  <c:v>4.59</c:v>
                </c:pt>
                <c:pt idx="10" formatCode="General">
                  <c:v>4.45</c:v>
                </c:pt>
                <c:pt idx="11">
                  <c:v>4.0999999999999996</c:v>
                </c:pt>
              </c:numCache>
            </c:numRef>
          </c:val>
          <c:smooth val="0"/>
          <c:extLst xmlns:c16r2="http://schemas.microsoft.com/office/drawing/2015/06/chart">
            <c:ext xmlns:c16="http://schemas.microsoft.com/office/drawing/2014/chart" uri="{C3380CC4-5D6E-409C-BE32-E72D297353CC}">
              <c16:uniqueId val="{00000009-2B17-4920-84FA-F5B7A12216CE}"/>
            </c:ext>
          </c:extLst>
        </c:ser>
        <c:ser>
          <c:idx val="1"/>
          <c:order val="2"/>
          <c:tx>
            <c:strRef>
              <c:f>Sheet1!$A$4</c:f>
              <c:strCache>
                <c:ptCount val="1"/>
                <c:pt idx="0">
                  <c:v>Rata dobînzii la depozitele în valută</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cat>
            <c:strRef>
              <c:f>Sheet1!$B$1:$M$1</c:f>
              <c:strCache>
                <c:ptCount val="12"/>
                <c:pt idx="0">
                  <c:v>Ian.    2018</c:v>
                </c:pt>
                <c:pt idx="1">
                  <c:v>Feb.   </c:v>
                </c:pt>
                <c:pt idx="2">
                  <c:v>Mar.</c:v>
                </c:pt>
                <c:pt idx="3">
                  <c:v>Apr.</c:v>
                </c:pt>
                <c:pt idx="4">
                  <c:v>Mai    </c:v>
                </c:pt>
                <c:pt idx="5">
                  <c:v>Iun. </c:v>
                </c:pt>
                <c:pt idx="6">
                  <c:v>Iul.</c:v>
                </c:pt>
                <c:pt idx="7">
                  <c:v>Aug.</c:v>
                </c:pt>
                <c:pt idx="8">
                  <c:v>Sep.</c:v>
                </c:pt>
                <c:pt idx="9">
                  <c:v>Oct.</c:v>
                </c:pt>
                <c:pt idx="10">
                  <c:v>Noiem.</c:v>
                </c:pt>
                <c:pt idx="11">
                  <c:v>Dec.</c:v>
                </c:pt>
              </c:strCache>
            </c:strRef>
          </c:cat>
          <c:val>
            <c:numRef>
              <c:f>Sheet1!$B$4:$M$4</c:f>
              <c:numCache>
                <c:formatCode>0.00</c:formatCode>
                <c:ptCount val="12"/>
                <c:pt idx="0">
                  <c:v>1.21</c:v>
                </c:pt>
                <c:pt idx="1">
                  <c:v>1.08</c:v>
                </c:pt>
                <c:pt idx="2">
                  <c:v>1.07</c:v>
                </c:pt>
                <c:pt idx="3">
                  <c:v>0.99</c:v>
                </c:pt>
                <c:pt idx="4">
                  <c:v>0.85</c:v>
                </c:pt>
                <c:pt idx="5">
                  <c:v>0.91</c:v>
                </c:pt>
                <c:pt idx="6">
                  <c:v>1.1299999999999999</c:v>
                </c:pt>
                <c:pt idx="7">
                  <c:v>0.86</c:v>
                </c:pt>
                <c:pt idx="8">
                  <c:v>0.83</c:v>
                </c:pt>
                <c:pt idx="9" formatCode="General">
                  <c:v>1.07</c:v>
                </c:pt>
                <c:pt idx="10" formatCode="General">
                  <c:v>0.87</c:v>
                </c:pt>
                <c:pt idx="11">
                  <c:v>1.08</c:v>
                </c:pt>
              </c:numCache>
            </c:numRef>
          </c:val>
          <c:smooth val="0"/>
          <c:extLst xmlns:c16r2="http://schemas.microsoft.com/office/drawing/2015/06/chart">
            <c:ext xmlns:c16="http://schemas.microsoft.com/office/drawing/2014/chart" uri="{C3380CC4-5D6E-409C-BE32-E72D297353CC}">
              <c16:uniqueId val="{0000000A-2B17-4920-84FA-F5B7A12216CE}"/>
            </c:ext>
          </c:extLst>
        </c:ser>
        <c:ser>
          <c:idx val="3"/>
          <c:order val="3"/>
          <c:tx>
            <c:strRef>
              <c:f>Sheet1!$A$5</c:f>
              <c:strCache>
                <c:ptCount val="1"/>
                <c:pt idx="0">
                  <c:v>Rata dobînzii la creditele în lei</c:v>
                </c:pt>
              </c:strCache>
            </c:strRef>
          </c:tx>
          <c:spPr>
            <a:ln w="25401">
              <a:solidFill>
                <a:srgbClr val="00FFFF"/>
              </a:solidFill>
              <a:prstDash val="solid"/>
            </a:ln>
          </c:spPr>
          <c:marker>
            <c:symbol val="star"/>
            <c:size val="7"/>
            <c:spPr>
              <a:noFill/>
              <a:ln>
                <a:solidFill>
                  <a:srgbClr val="339966"/>
                </a:solidFill>
                <a:prstDash val="solid"/>
              </a:ln>
            </c:spPr>
          </c:marker>
          <c:cat>
            <c:strRef>
              <c:f>Sheet1!$B$1:$M$1</c:f>
              <c:strCache>
                <c:ptCount val="12"/>
                <c:pt idx="0">
                  <c:v>Ian.    2018</c:v>
                </c:pt>
                <c:pt idx="1">
                  <c:v>Feb.   </c:v>
                </c:pt>
                <c:pt idx="2">
                  <c:v>Mar.</c:v>
                </c:pt>
                <c:pt idx="3">
                  <c:v>Apr.</c:v>
                </c:pt>
                <c:pt idx="4">
                  <c:v>Mai    </c:v>
                </c:pt>
                <c:pt idx="5">
                  <c:v>Iun. </c:v>
                </c:pt>
                <c:pt idx="6">
                  <c:v>Iul.</c:v>
                </c:pt>
                <c:pt idx="7">
                  <c:v>Aug.</c:v>
                </c:pt>
                <c:pt idx="8">
                  <c:v>Sep.</c:v>
                </c:pt>
                <c:pt idx="9">
                  <c:v>Oct.</c:v>
                </c:pt>
                <c:pt idx="10">
                  <c:v>Noiem.</c:v>
                </c:pt>
                <c:pt idx="11">
                  <c:v>Dec.</c:v>
                </c:pt>
              </c:strCache>
            </c:strRef>
          </c:cat>
          <c:val>
            <c:numRef>
              <c:f>Sheet1!$B$5:$M$5</c:f>
              <c:numCache>
                <c:formatCode>0.00</c:formatCode>
                <c:ptCount val="12"/>
                <c:pt idx="0">
                  <c:v>9.8000000000000007</c:v>
                </c:pt>
                <c:pt idx="1">
                  <c:v>9.4700000000000006</c:v>
                </c:pt>
                <c:pt idx="2">
                  <c:v>9.35</c:v>
                </c:pt>
                <c:pt idx="3">
                  <c:v>9</c:v>
                </c:pt>
                <c:pt idx="4">
                  <c:v>8.6300000000000008</c:v>
                </c:pt>
                <c:pt idx="5">
                  <c:v>8.7200000000000006</c:v>
                </c:pt>
                <c:pt idx="6">
                  <c:v>8.67</c:v>
                </c:pt>
                <c:pt idx="7">
                  <c:v>8.4499999999999993</c:v>
                </c:pt>
                <c:pt idx="8">
                  <c:v>8.5</c:v>
                </c:pt>
                <c:pt idx="9" formatCode="General">
                  <c:v>8.52</c:v>
                </c:pt>
                <c:pt idx="10" formatCode="General">
                  <c:v>8.4499999999999993</c:v>
                </c:pt>
                <c:pt idx="11">
                  <c:v>8.61</c:v>
                </c:pt>
              </c:numCache>
            </c:numRef>
          </c:val>
          <c:smooth val="0"/>
          <c:extLst xmlns:c16r2="http://schemas.microsoft.com/office/drawing/2015/06/chart">
            <c:ext xmlns:c16="http://schemas.microsoft.com/office/drawing/2014/chart" uri="{C3380CC4-5D6E-409C-BE32-E72D297353CC}">
              <c16:uniqueId val="{0000000B-2B17-4920-84FA-F5B7A12216CE}"/>
            </c:ext>
          </c:extLst>
        </c:ser>
        <c:ser>
          <c:idx val="4"/>
          <c:order val="4"/>
          <c:tx>
            <c:strRef>
              <c:f>Sheet1!$A$6</c:f>
              <c:strCache>
                <c:ptCount val="1"/>
                <c:pt idx="0">
                  <c:v>Rata dobînzii la creditele în valută</c:v>
                </c:pt>
              </c:strCache>
            </c:strRef>
          </c:tx>
          <c:spPr>
            <a:ln w="12700">
              <a:solidFill>
                <a:srgbClr val="800080"/>
              </a:solidFill>
              <a:prstDash val="solid"/>
            </a:ln>
          </c:spPr>
          <c:marker>
            <c:symbol val="star"/>
            <c:size val="5"/>
            <c:spPr>
              <a:noFill/>
              <a:ln>
                <a:solidFill>
                  <a:srgbClr val="800080"/>
                </a:solidFill>
                <a:prstDash val="solid"/>
              </a:ln>
            </c:spPr>
          </c:marker>
          <c:cat>
            <c:strRef>
              <c:f>Sheet1!$B$1:$M$1</c:f>
              <c:strCache>
                <c:ptCount val="12"/>
                <c:pt idx="0">
                  <c:v>Ian.    2018</c:v>
                </c:pt>
                <c:pt idx="1">
                  <c:v>Feb.   </c:v>
                </c:pt>
                <c:pt idx="2">
                  <c:v>Mar.</c:v>
                </c:pt>
                <c:pt idx="3">
                  <c:v>Apr.</c:v>
                </c:pt>
                <c:pt idx="4">
                  <c:v>Mai    </c:v>
                </c:pt>
                <c:pt idx="5">
                  <c:v>Iun. </c:v>
                </c:pt>
                <c:pt idx="6">
                  <c:v>Iul.</c:v>
                </c:pt>
                <c:pt idx="7">
                  <c:v>Aug.</c:v>
                </c:pt>
                <c:pt idx="8">
                  <c:v>Sep.</c:v>
                </c:pt>
                <c:pt idx="9">
                  <c:v>Oct.</c:v>
                </c:pt>
                <c:pt idx="10">
                  <c:v>Noiem.</c:v>
                </c:pt>
                <c:pt idx="11">
                  <c:v>Dec.</c:v>
                </c:pt>
              </c:strCache>
            </c:strRef>
          </c:cat>
          <c:val>
            <c:numRef>
              <c:f>Sheet1!$B$6:$M$6</c:f>
              <c:numCache>
                <c:formatCode>0.00</c:formatCode>
                <c:ptCount val="12"/>
                <c:pt idx="0">
                  <c:v>4.9400000000000004</c:v>
                </c:pt>
                <c:pt idx="1">
                  <c:v>4.8499999999999996</c:v>
                </c:pt>
                <c:pt idx="2">
                  <c:v>4.6900000000000004</c:v>
                </c:pt>
                <c:pt idx="3">
                  <c:v>4.76</c:v>
                </c:pt>
                <c:pt idx="4">
                  <c:v>4.93</c:v>
                </c:pt>
                <c:pt idx="5">
                  <c:v>4.71</c:v>
                </c:pt>
                <c:pt idx="6">
                  <c:v>4.82</c:v>
                </c:pt>
                <c:pt idx="7">
                  <c:v>4.53</c:v>
                </c:pt>
                <c:pt idx="8">
                  <c:v>4.5999999999999996</c:v>
                </c:pt>
                <c:pt idx="9" formatCode="General">
                  <c:v>4.53</c:v>
                </c:pt>
                <c:pt idx="10" formatCode="General">
                  <c:v>4.6100000000000003</c:v>
                </c:pt>
                <c:pt idx="11">
                  <c:v>4.5599999999999996</c:v>
                </c:pt>
              </c:numCache>
            </c:numRef>
          </c:val>
          <c:smooth val="0"/>
          <c:extLst xmlns:c16r2="http://schemas.microsoft.com/office/drawing/2015/06/chart">
            <c:ext xmlns:c16="http://schemas.microsoft.com/office/drawing/2014/chart" uri="{C3380CC4-5D6E-409C-BE32-E72D297353CC}">
              <c16:uniqueId val="{0000000C-2B17-4920-84FA-F5B7A12216CE}"/>
            </c:ext>
          </c:extLst>
        </c:ser>
        <c:dLbls>
          <c:showLegendKey val="0"/>
          <c:showVal val="0"/>
          <c:showCatName val="0"/>
          <c:showSerName val="0"/>
          <c:showPercent val="0"/>
          <c:showBubbleSize val="0"/>
        </c:dLbls>
        <c:marker val="1"/>
        <c:smooth val="0"/>
        <c:axId val="687730464"/>
        <c:axId val="687730856"/>
      </c:lineChart>
      <c:catAx>
        <c:axId val="6877304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687730856"/>
        <c:crosses val="autoZero"/>
        <c:auto val="0"/>
        <c:lblAlgn val="ctr"/>
        <c:lblOffset val="100"/>
        <c:tickLblSkip val="1"/>
        <c:tickMarkSkip val="1"/>
        <c:noMultiLvlLbl val="0"/>
      </c:catAx>
      <c:valAx>
        <c:axId val="687730856"/>
        <c:scaling>
          <c:orientation val="minMax"/>
          <c:max val="11"/>
          <c:min val="0"/>
        </c:scaling>
        <c:delete val="0"/>
        <c:axPos val="l"/>
        <c:numFmt formatCode="0" sourceLinked="0"/>
        <c:majorTickMark val="out"/>
        <c:minorTickMark val="none"/>
        <c:tickLblPos val="nextTo"/>
        <c:spPr>
          <a:ln w="12700">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687730464"/>
        <c:crosses val="autoZero"/>
        <c:crossBetween val="between"/>
        <c:majorUnit val="2"/>
        <c:minorUnit val="2"/>
      </c:valAx>
      <c:spPr>
        <a:noFill/>
        <a:ln w="25401">
          <a:noFill/>
        </a:ln>
      </c:spPr>
    </c:plotArea>
    <c:legend>
      <c:legendPos val="b"/>
      <c:layout>
        <c:manualLayout>
          <c:xMode val="edge"/>
          <c:yMode val="edge"/>
          <c:x val="9.676025181258284E-2"/>
          <c:y val="0.78382927880283626"/>
          <c:w val="0.79498941035835879"/>
          <c:h val="0.19511561054868143"/>
        </c:manualLayout>
      </c:layout>
      <c:overlay val="0"/>
      <c:spPr>
        <a:solidFill>
          <a:srgbClr val="FFFFFF"/>
        </a:solidFill>
        <a:ln w="3175">
          <a:noFill/>
          <a:prstDash val="solid"/>
        </a:ln>
      </c:spPr>
      <c:txPr>
        <a:bodyPr/>
        <a:lstStyle/>
        <a:p>
          <a:pPr>
            <a:defRPr sz="9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c:f>
              <c:strCache>
                <c:ptCount val="1"/>
                <c:pt idx="0">
                  <c:v>Credite neperformante/total credite, %</c:v>
                </c:pt>
              </c:strCache>
            </c:strRef>
          </c:tx>
          <c:spPr>
            <a:ln w="28575" cap="rnd">
              <a:solidFill>
                <a:schemeClr val="accent1"/>
              </a:solidFill>
              <a:round/>
            </a:ln>
            <a:effectLst/>
          </c:spPr>
          <c:marker>
            <c:symbol val="none"/>
          </c:marker>
          <c:dLbls>
            <c:dLbl>
              <c:idx val="9"/>
              <c:layout>
                <c:manualLayout>
                  <c:x val="-2.3903347959367674E-2"/>
                  <c:y val="-6.623817436394156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591-4036-84A7-F7418FF12C5F}"/>
                </c:ext>
                <c:ext xmlns:c15="http://schemas.microsoft.com/office/drawing/2012/chart" uri="{CE6537A1-D6FC-4f65-9D91-7224C49458BB}"/>
              </c:extLst>
            </c:dLbl>
            <c:dLbl>
              <c:idx val="12"/>
              <c:spPr>
                <a:noFill/>
                <a:ln cmpd="sng">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dLbl>
            <c:dLbl>
              <c:idx val="13"/>
              <c:spPr>
                <a:noFill/>
                <a:ln>
                  <a:solidFill>
                    <a:schemeClr val="accent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Лист1!$A$2:$A$14</c:f>
              <c:strCache>
                <c:ptCount val="13"/>
                <c:pt idx="0">
                  <c:v>Ian.   2018</c:v>
                </c:pt>
                <c:pt idx="1">
                  <c:v>Feb.  </c:v>
                </c:pt>
                <c:pt idx="2">
                  <c:v>Mar.</c:v>
                </c:pt>
                <c:pt idx="3">
                  <c:v>Apr.</c:v>
                </c:pt>
                <c:pt idx="4">
                  <c:v>Mai   </c:v>
                </c:pt>
                <c:pt idx="5">
                  <c:v>Iun. </c:v>
                </c:pt>
                <c:pt idx="6">
                  <c:v>Iul.  </c:v>
                </c:pt>
                <c:pt idx="7">
                  <c:v>Aug.</c:v>
                </c:pt>
                <c:pt idx="8">
                  <c:v>Sept. </c:v>
                </c:pt>
                <c:pt idx="9">
                  <c:v>Oct. </c:v>
                </c:pt>
                <c:pt idx="10">
                  <c:v>Noiem.</c:v>
                </c:pt>
                <c:pt idx="11">
                  <c:v>Dec. </c:v>
                </c:pt>
                <c:pt idx="12">
                  <c:v>Ian.   2019</c:v>
                </c:pt>
              </c:strCache>
            </c:strRef>
          </c:cat>
          <c:val>
            <c:numRef>
              <c:f>Лист1!$B$2:$B$14</c:f>
              <c:numCache>
                <c:formatCode>General</c:formatCode>
                <c:ptCount val="13"/>
                <c:pt idx="0">
                  <c:v>18.309999999999999</c:v>
                </c:pt>
                <c:pt idx="1">
                  <c:v>16.63</c:v>
                </c:pt>
                <c:pt idx="2">
                  <c:v>16.239999999999998</c:v>
                </c:pt>
                <c:pt idx="3">
                  <c:v>15.64</c:v>
                </c:pt>
                <c:pt idx="4">
                  <c:v>15.17</c:v>
                </c:pt>
                <c:pt idx="5">
                  <c:v>14.73</c:v>
                </c:pt>
                <c:pt idx="6">
                  <c:v>14.36</c:v>
                </c:pt>
                <c:pt idx="7">
                  <c:v>14.16</c:v>
                </c:pt>
                <c:pt idx="8">
                  <c:v>13.54</c:v>
                </c:pt>
                <c:pt idx="9">
                  <c:v>13.27</c:v>
                </c:pt>
                <c:pt idx="10">
                  <c:v>13.37</c:v>
                </c:pt>
                <c:pt idx="11">
                  <c:v>12.54</c:v>
                </c:pt>
                <c:pt idx="12">
                  <c:v>12.15</c:v>
                </c:pt>
              </c:numCache>
            </c:numRef>
          </c:val>
          <c:smooth val="0"/>
          <c:extLst xmlns:c16r2="http://schemas.microsoft.com/office/drawing/2015/06/chart">
            <c:ext xmlns:c16="http://schemas.microsoft.com/office/drawing/2014/chart" uri="{C3380CC4-5D6E-409C-BE32-E72D297353CC}">
              <c16:uniqueId val="{00000003-9591-4036-84A7-F7418FF12C5F}"/>
            </c:ext>
          </c:extLst>
        </c:ser>
        <c:dLbls>
          <c:showLegendKey val="0"/>
          <c:showVal val="0"/>
          <c:showCatName val="0"/>
          <c:showSerName val="0"/>
          <c:showPercent val="0"/>
          <c:showBubbleSize val="0"/>
        </c:dLbls>
        <c:smooth val="0"/>
        <c:axId val="687731640"/>
        <c:axId val="687732032"/>
      </c:lineChart>
      <c:catAx>
        <c:axId val="687731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732032"/>
        <c:crosses val="autoZero"/>
        <c:auto val="1"/>
        <c:lblAlgn val="ctr"/>
        <c:lblOffset val="100"/>
        <c:noMultiLvlLbl val="0"/>
      </c:catAx>
      <c:valAx>
        <c:axId val="687732032"/>
        <c:scaling>
          <c:orientation val="minMax"/>
          <c:min val="1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7316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o-RO" sz="1200" b="1">
                <a:solidFill>
                  <a:schemeClr val="tx1"/>
                </a:solidFill>
                <a:latin typeface="Times New Roman" panose="02020603050405020304" pitchFamily="18" charset="0"/>
                <a:cs typeface="Times New Roman" panose="02020603050405020304" pitchFamily="18" charset="0"/>
              </a:rPr>
              <a:t>Încasări</a:t>
            </a:r>
            <a:r>
              <a:rPr lang="ro-RO" sz="1200" b="1" baseline="0">
                <a:solidFill>
                  <a:schemeClr val="tx1"/>
                </a:solidFill>
                <a:latin typeface="Times New Roman" panose="02020603050405020304" pitchFamily="18" charset="0"/>
                <a:cs typeface="Times New Roman" panose="02020603050405020304" pitchFamily="18" charset="0"/>
              </a:rPr>
              <a:t> lunare din impozitul pe venitul persoanelor fizice, mil.lei</a:t>
            </a:r>
            <a:endParaRPr lang="en-US" sz="12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2526710502810184"/>
          <c:y val="8.385744234800839E-3"/>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6.2999081060544804E-2"/>
          <c:y val="0.11208151382823872"/>
          <c:w val="0.8779876182254297"/>
          <c:h val="0.70933993512819626"/>
        </c:manualLayout>
      </c:layout>
      <c:barChart>
        <c:barDir val="col"/>
        <c:grouping val="clustered"/>
        <c:varyColors val="0"/>
        <c:ser>
          <c:idx val="0"/>
          <c:order val="0"/>
          <c:tx>
            <c:v>Volumul încasărilor</c:v>
          </c:tx>
          <c:spPr>
            <a:solidFill>
              <a:schemeClr val="accent1"/>
            </a:solidFill>
            <a:ln>
              <a:noFill/>
            </a:ln>
            <a:effectLst/>
          </c:spPr>
          <c:invertIfNegative val="0"/>
          <c:cat>
            <c:strRef>
              <c:f>'Impozitul pe salariu'!$B$11:$N$11</c:f>
              <c:strCache>
                <c:ptCount val="13"/>
                <c:pt idx="0">
                  <c:v>1 2018</c:v>
                </c:pt>
                <c:pt idx="1">
                  <c:v>2</c:v>
                </c:pt>
                <c:pt idx="2">
                  <c:v>3</c:v>
                </c:pt>
                <c:pt idx="3">
                  <c:v>4</c:v>
                </c:pt>
                <c:pt idx="4">
                  <c:v>5</c:v>
                </c:pt>
                <c:pt idx="5">
                  <c:v>6</c:v>
                </c:pt>
                <c:pt idx="6">
                  <c:v>7</c:v>
                </c:pt>
                <c:pt idx="7">
                  <c:v>8</c:v>
                </c:pt>
                <c:pt idx="8">
                  <c:v>9</c:v>
                </c:pt>
                <c:pt idx="9">
                  <c:v>10</c:v>
                </c:pt>
                <c:pt idx="10">
                  <c:v>11</c:v>
                </c:pt>
                <c:pt idx="11">
                  <c:v>12 2018</c:v>
                </c:pt>
                <c:pt idx="12">
                  <c:v>1 2019</c:v>
                </c:pt>
              </c:strCache>
            </c:strRef>
          </c:cat>
          <c:val>
            <c:numRef>
              <c:f>'Impozitul pe salariu'!$B$12:$N$12</c:f>
              <c:numCache>
                <c:formatCode>General</c:formatCode>
                <c:ptCount val="13"/>
                <c:pt idx="0">
                  <c:v>293</c:v>
                </c:pt>
                <c:pt idx="1">
                  <c:v>292.89999999999998</c:v>
                </c:pt>
                <c:pt idx="2">
                  <c:v>312.20000000000005</c:v>
                </c:pt>
                <c:pt idx="3">
                  <c:v>342.1</c:v>
                </c:pt>
                <c:pt idx="4">
                  <c:v>393.99999999999977</c:v>
                </c:pt>
                <c:pt idx="5">
                  <c:v>389.20000000000027</c:v>
                </c:pt>
                <c:pt idx="6">
                  <c:v>359.90000000000009</c:v>
                </c:pt>
                <c:pt idx="7">
                  <c:v>281.80000000000018</c:v>
                </c:pt>
                <c:pt idx="8">
                  <c:v>360.99999999999955</c:v>
                </c:pt>
                <c:pt idx="9">
                  <c:v>299.20000000000027</c:v>
                </c:pt>
                <c:pt idx="10">
                  <c:v>286.29999999999973</c:v>
                </c:pt>
                <c:pt idx="11">
                  <c:v>370.40000000000009</c:v>
                </c:pt>
                <c:pt idx="12">
                  <c:v>277.29999999999995</c:v>
                </c:pt>
              </c:numCache>
            </c:numRef>
          </c:val>
          <c:extLst xmlns:c16r2="http://schemas.microsoft.com/office/drawing/2015/06/chart">
            <c:ext xmlns:c16="http://schemas.microsoft.com/office/drawing/2014/chart" uri="{C3380CC4-5D6E-409C-BE32-E72D297353CC}">
              <c16:uniqueId val="{0000000B-2AC6-4D0E-8884-6066E3A08BCC}"/>
            </c:ext>
          </c:extLst>
        </c:ser>
        <c:dLbls>
          <c:showLegendKey val="0"/>
          <c:showVal val="0"/>
          <c:showCatName val="0"/>
          <c:showSerName val="0"/>
          <c:showPercent val="0"/>
          <c:showBubbleSize val="0"/>
        </c:dLbls>
        <c:gapWidth val="150"/>
        <c:axId val="687740656"/>
        <c:axId val="687740264"/>
      </c:barChart>
      <c:lineChart>
        <c:grouping val="standard"/>
        <c:varyColors val="0"/>
        <c:ser>
          <c:idx val="1"/>
          <c:order val="1"/>
          <c:tx>
            <c:v>creștere anuală nominală, %</c:v>
          </c:tx>
          <c:spPr>
            <a:ln w="19050" cap="rnd">
              <a:solidFill>
                <a:srgbClr val="E7E6E6">
                  <a:lumMod val="75000"/>
                </a:srgbClr>
              </a:solidFill>
              <a:prstDash val="solid"/>
              <a:round/>
            </a:ln>
            <a:effectLst/>
          </c:spPr>
          <c:marker>
            <c:symbol val="none"/>
          </c:marker>
          <c:dLbls>
            <c:dLbl>
              <c:idx val="0"/>
              <c:layout>
                <c:manualLayout>
                  <c:x val="-3.9800995024875635E-2"/>
                  <c:y val="-3.85438972162741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C1E-490D-B37D-C4179D980FBC}"/>
                </c:ext>
                <c:ext xmlns:c15="http://schemas.microsoft.com/office/drawing/2012/chart" uri="{CE6537A1-D6FC-4f65-9D91-7224C49458BB}"/>
              </c:extLst>
            </c:dLbl>
            <c:dLbl>
              <c:idx val="8"/>
              <c:layout>
                <c:manualLayout>
                  <c:x val="-4.0540540540540543E-2"/>
                  <c:y val="-1.71306209850107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2AC6-4D0E-8884-6066E3A08BCC}"/>
                </c:ext>
                <c:ext xmlns:c15="http://schemas.microsoft.com/office/drawing/2012/chart" uri="{CE6537A1-D6FC-4f65-9D91-7224C49458BB}"/>
              </c:extLst>
            </c:dLbl>
            <c:dLbl>
              <c:idx val="11"/>
              <c:layout>
                <c:manualLayout>
                  <c:x val="-4.1956497736557359E-2"/>
                  <c:y val="2.54730713245997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2AC6-4D0E-8884-6066E3A08BCC}"/>
                </c:ext>
                <c:ext xmlns:c15="http://schemas.microsoft.com/office/drawing/2012/chart" uri="{CE6537A1-D6FC-4f65-9D91-7224C49458BB}"/>
              </c:extLst>
            </c:dLbl>
            <c:spPr>
              <a:solidFill>
                <a:srgbClr val="4472C4">
                  <a:lumMod val="20000"/>
                  <a:lumOff val="80000"/>
                </a:srgb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'Impozitul pe salariu'!$B$11:$N$11</c:f>
              <c:strCache>
                <c:ptCount val="13"/>
                <c:pt idx="0">
                  <c:v>1 2018</c:v>
                </c:pt>
                <c:pt idx="1">
                  <c:v>2</c:v>
                </c:pt>
                <c:pt idx="2">
                  <c:v>3</c:v>
                </c:pt>
                <c:pt idx="3">
                  <c:v>4</c:v>
                </c:pt>
                <c:pt idx="4">
                  <c:v>5</c:v>
                </c:pt>
                <c:pt idx="5">
                  <c:v>6</c:v>
                </c:pt>
                <c:pt idx="6">
                  <c:v>7</c:v>
                </c:pt>
                <c:pt idx="7">
                  <c:v>8</c:v>
                </c:pt>
                <c:pt idx="8">
                  <c:v>9</c:v>
                </c:pt>
                <c:pt idx="9">
                  <c:v>10</c:v>
                </c:pt>
                <c:pt idx="10">
                  <c:v>11</c:v>
                </c:pt>
                <c:pt idx="11">
                  <c:v>12 2018</c:v>
                </c:pt>
                <c:pt idx="12">
                  <c:v>1 2019</c:v>
                </c:pt>
              </c:strCache>
            </c:strRef>
          </c:cat>
          <c:val>
            <c:numRef>
              <c:f>'Impozitul pe salariu'!$B$18:$N$18</c:f>
              <c:numCache>
                <c:formatCode>0.0</c:formatCode>
                <c:ptCount val="13"/>
                <c:pt idx="0">
                  <c:v>21.677740863787378</c:v>
                </c:pt>
                <c:pt idx="1">
                  <c:v>18.92001624035727</c:v>
                </c:pt>
                <c:pt idx="2">
                  <c:v>-3.8793103448275588</c:v>
                </c:pt>
                <c:pt idx="3">
                  <c:v>17.924853498793524</c:v>
                </c:pt>
                <c:pt idx="4">
                  <c:v>31.728518890003301</c:v>
                </c:pt>
                <c:pt idx="5">
                  <c:v>16.42237511217472</c:v>
                </c:pt>
                <c:pt idx="6">
                  <c:v>10.534398034398095</c:v>
                </c:pt>
                <c:pt idx="7">
                  <c:v>-0.14174344436557362</c:v>
                </c:pt>
                <c:pt idx="8">
                  <c:v>35.867519759126537</c:v>
                </c:pt>
                <c:pt idx="9">
                  <c:v>-0.59800664451817909</c:v>
                </c:pt>
                <c:pt idx="10">
                  <c:v>-5.8842866535174494</c:v>
                </c:pt>
                <c:pt idx="11">
                  <c:v>-14.811407543698223</c:v>
                </c:pt>
                <c:pt idx="12">
                  <c:v>-5.3583617747440542</c:v>
                </c:pt>
              </c:numCache>
            </c:numRef>
          </c:val>
          <c:smooth val="1"/>
          <c:extLst xmlns:c16r2="http://schemas.microsoft.com/office/drawing/2015/06/chart">
            <c:ext xmlns:c16="http://schemas.microsoft.com/office/drawing/2014/chart" uri="{C3380CC4-5D6E-409C-BE32-E72D297353CC}">
              <c16:uniqueId val="{0000000E-2AC6-4D0E-8884-6066E3A08BCC}"/>
            </c:ext>
          </c:extLst>
        </c:ser>
        <c:dLbls>
          <c:showLegendKey val="0"/>
          <c:showVal val="0"/>
          <c:showCatName val="0"/>
          <c:showSerName val="0"/>
          <c:showPercent val="0"/>
          <c:showBubbleSize val="0"/>
        </c:dLbls>
        <c:marker val="1"/>
        <c:smooth val="0"/>
        <c:axId val="687739480"/>
        <c:axId val="687739872"/>
      </c:lineChart>
      <c:catAx>
        <c:axId val="68774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740264"/>
        <c:crosses val="autoZero"/>
        <c:auto val="1"/>
        <c:lblAlgn val="ctr"/>
        <c:lblOffset val="100"/>
        <c:noMultiLvlLbl val="0"/>
      </c:catAx>
      <c:valAx>
        <c:axId val="687740264"/>
        <c:scaling>
          <c:orientation val="minMax"/>
          <c:max val="450"/>
          <c:min val="2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740656"/>
        <c:crosses val="autoZero"/>
        <c:crossBetween val="between"/>
        <c:majorUnit val="50"/>
      </c:valAx>
      <c:valAx>
        <c:axId val="687739872"/>
        <c:scaling>
          <c:orientation val="minMax"/>
          <c:min val="-2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739480"/>
        <c:crosses val="max"/>
        <c:crossBetween val="between"/>
      </c:valAx>
      <c:catAx>
        <c:axId val="687739480"/>
        <c:scaling>
          <c:orientation val="minMax"/>
        </c:scaling>
        <c:delete val="1"/>
        <c:axPos val="b"/>
        <c:numFmt formatCode="General" sourceLinked="1"/>
        <c:majorTickMark val="out"/>
        <c:minorTickMark val="none"/>
        <c:tickLblPos val="nextTo"/>
        <c:crossAx val="687739872"/>
        <c:crossesAt val="-20"/>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dLbl>
              <c:idx val="0"/>
              <c:layout>
                <c:manualLayout>
                  <c:x val="0"/>
                  <c:y val="4.001600640256102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392-4238-8106-86461F4C3DA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Sheet1!$A$5:$A$14</c:f>
              <c:strCache>
                <c:ptCount val="10"/>
                <c:pt idx="0">
                  <c:v>Protecție socială</c:v>
                </c:pt>
                <c:pt idx="1">
                  <c:v>Învățămînt</c:v>
                </c:pt>
                <c:pt idx="2">
                  <c:v>Ocrotirea sănătății</c:v>
                </c:pt>
                <c:pt idx="3">
                  <c:v>Servicii de stat cu destinație generală</c:v>
                </c:pt>
                <c:pt idx="4">
                  <c:v>Ordine publică și securitate națională</c:v>
                </c:pt>
                <c:pt idx="5">
                  <c:v>Servicii în domeniul economiei</c:v>
                </c:pt>
                <c:pt idx="6">
                  <c:v>Cultură, sport, tineret, culte și odihnă</c:v>
                </c:pt>
                <c:pt idx="7">
                  <c:v>Gospodăria de locuințe și gospodăria serviciilor comunale</c:v>
                </c:pt>
                <c:pt idx="8">
                  <c:v>Apărare națională</c:v>
                </c:pt>
                <c:pt idx="9">
                  <c:v>Protecția mediului</c:v>
                </c:pt>
              </c:strCache>
            </c:strRef>
          </c:cat>
          <c:val>
            <c:numRef>
              <c:f>Sheet1!$B$5:$B$14</c:f>
              <c:numCache>
                <c:formatCode>General</c:formatCode>
                <c:ptCount val="10"/>
                <c:pt idx="0">
                  <c:v>1872.3999999999999</c:v>
                </c:pt>
                <c:pt idx="1">
                  <c:v>752.99999999999989</c:v>
                </c:pt>
                <c:pt idx="2">
                  <c:v>469.20000000000005</c:v>
                </c:pt>
                <c:pt idx="3">
                  <c:v>325.5</c:v>
                </c:pt>
                <c:pt idx="4">
                  <c:v>274.89999999999998</c:v>
                </c:pt>
                <c:pt idx="5">
                  <c:v>254.20000000000005</c:v>
                </c:pt>
                <c:pt idx="6">
                  <c:v>100.30000000000001</c:v>
                </c:pt>
                <c:pt idx="7">
                  <c:v>50.6</c:v>
                </c:pt>
                <c:pt idx="8">
                  <c:v>32.700000000000003</c:v>
                </c:pt>
                <c:pt idx="9">
                  <c:v>7.6</c:v>
                </c:pt>
              </c:numCache>
            </c:numRef>
          </c:val>
          <c:extLst xmlns:c16r2="http://schemas.microsoft.com/office/drawing/2015/06/chart">
            <c:ext xmlns:c16="http://schemas.microsoft.com/office/drawing/2014/chart" uri="{C3380CC4-5D6E-409C-BE32-E72D297353CC}">
              <c16:uniqueId val="{00000001-3392-4238-8106-86461F4C3DA6}"/>
            </c:ext>
          </c:extLst>
        </c:ser>
        <c:dLbls>
          <c:showLegendKey val="0"/>
          <c:showVal val="0"/>
          <c:showCatName val="0"/>
          <c:showSerName val="0"/>
          <c:showPercent val="0"/>
          <c:showBubbleSize val="0"/>
        </c:dLbls>
        <c:gapWidth val="182"/>
        <c:axId val="687738696"/>
        <c:axId val="687738304"/>
      </c:barChart>
      <c:catAx>
        <c:axId val="6877386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738304"/>
        <c:crosses val="autoZero"/>
        <c:auto val="1"/>
        <c:lblAlgn val="ctr"/>
        <c:lblOffset val="100"/>
        <c:noMultiLvlLbl val="0"/>
      </c:catAx>
      <c:valAx>
        <c:axId val="687738304"/>
        <c:scaling>
          <c:orientation val="minMax"/>
          <c:max val="2100"/>
          <c:min val="0"/>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7386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o-RO" sz="1200" b="1">
                <a:solidFill>
                  <a:sysClr val="windowText" lastClr="000000"/>
                </a:solidFill>
                <a:latin typeface="Times New Roman" panose="02020603050405020304" pitchFamily="18" charset="0"/>
                <a:cs typeface="Times New Roman" panose="02020603050405020304" pitchFamily="18" charset="0"/>
              </a:rPr>
              <a:t>Încasările</a:t>
            </a:r>
            <a:r>
              <a:rPr lang="ro-RO" sz="1200" b="1" baseline="0">
                <a:solidFill>
                  <a:sysClr val="windowText" lastClr="000000"/>
                </a:solidFill>
                <a:latin typeface="Times New Roman" panose="02020603050405020304" pitchFamily="18" charset="0"/>
                <a:cs typeface="Times New Roman" panose="02020603050405020304" pitchFamily="18" charset="0"/>
              </a:rPr>
              <a:t> lunare la BASS din contribuții și prime de asigurări obligatorii, mil.lei</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v>Volumul încasărilor, mil.lei</c:v>
          </c:tx>
          <c:spPr>
            <a:solidFill>
              <a:schemeClr val="accent1"/>
            </a:solidFill>
            <a:ln>
              <a:noFill/>
              <a:prstDash val="sysDash"/>
            </a:ln>
            <a:effectLst/>
          </c:spPr>
          <c:invertIfNegative val="0"/>
          <c:cat>
            <c:strRef>
              <c:f>BASS!$C$9:$O$9</c:f>
              <c:strCache>
                <c:ptCount val="13"/>
                <c:pt idx="0">
                  <c:v>1 2018</c:v>
                </c:pt>
                <c:pt idx="1">
                  <c:v>2</c:v>
                </c:pt>
                <c:pt idx="2">
                  <c:v>3</c:v>
                </c:pt>
                <c:pt idx="3">
                  <c:v>4</c:v>
                </c:pt>
                <c:pt idx="4">
                  <c:v>5</c:v>
                </c:pt>
                <c:pt idx="5">
                  <c:v>6</c:v>
                </c:pt>
                <c:pt idx="6">
                  <c:v>7</c:v>
                </c:pt>
                <c:pt idx="7">
                  <c:v>8</c:v>
                </c:pt>
                <c:pt idx="8">
                  <c:v>9</c:v>
                </c:pt>
                <c:pt idx="9">
                  <c:v>10</c:v>
                </c:pt>
                <c:pt idx="10">
                  <c:v>11</c:v>
                </c:pt>
                <c:pt idx="11">
                  <c:v>12  2018</c:v>
                </c:pt>
                <c:pt idx="12">
                  <c:v>1  2019</c:v>
                </c:pt>
              </c:strCache>
            </c:strRef>
          </c:cat>
          <c:val>
            <c:numRef>
              <c:f>BASS!$C$10:$O$10</c:f>
              <c:numCache>
                <c:formatCode>General</c:formatCode>
                <c:ptCount val="13"/>
                <c:pt idx="0">
                  <c:v>964.1</c:v>
                </c:pt>
                <c:pt idx="1">
                  <c:v>1011.4999999999999</c:v>
                </c:pt>
                <c:pt idx="2">
                  <c:v>994.40000000000009</c:v>
                </c:pt>
                <c:pt idx="3">
                  <c:v>1006.9000000000001</c:v>
                </c:pt>
                <c:pt idx="4">
                  <c:v>1107.9000000000001</c:v>
                </c:pt>
                <c:pt idx="5">
                  <c:v>1206.3000000000002</c:v>
                </c:pt>
                <c:pt idx="6">
                  <c:v>1157.3999999999996</c:v>
                </c:pt>
                <c:pt idx="7">
                  <c:v>1062.2000000000007</c:v>
                </c:pt>
                <c:pt idx="8">
                  <c:v>1116.7999999999993</c:v>
                </c:pt>
                <c:pt idx="9">
                  <c:v>1125.8999999999996</c:v>
                </c:pt>
                <c:pt idx="10">
                  <c:v>1054.8999999999996</c:v>
                </c:pt>
                <c:pt idx="11">
                  <c:v>1220.8000000000011</c:v>
                </c:pt>
                <c:pt idx="12">
                  <c:v>982.7</c:v>
                </c:pt>
              </c:numCache>
            </c:numRef>
          </c:val>
          <c:extLst xmlns:c16r2="http://schemas.microsoft.com/office/drawing/2015/06/chart">
            <c:ext xmlns:c16="http://schemas.microsoft.com/office/drawing/2014/chart" uri="{C3380CC4-5D6E-409C-BE32-E72D297353CC}">
              <c16:uniqueId val="{00000000-08B5-404C-8A98-C1B2EA64D7B0}"/>
            </c:ext>
          </c:extLst>
        </c:ser>
        <c:dLbls>
          <c:showLegendKey val="0"/>
          <c:showVal val="0"/>
          <c:showCatName val="0"/>
          <c:showSerName val="0"/>
          <c:showPercent val="0"/>
          <c:showBubbleSize val="0"/>
        </c:dLbls>
        <c:gapWidth val="150"/>
        <c:axId val="687732816"/>
        <c:axId val="687737912"/>
      </c:barChart>
      <c:lineChart>
        <c:grouping val="standard"/>
        <c:varyColors val="0"/>
        <c:ser>
          <c:idx val="1"/>
          <c:order val="1"/>
          <c:tx>
            <c:v>creștere anuală nominală, %</c:v>
          </c:tx>
          <c:spPr>
            <a:ln w="22225" cap="rnd">
              <a:solidFill>
                <a:srgbClr val="A5A5A5">
                  <a:lumMod val="60000"/>
                  <a:lumOff val="40000"/>
                </a:srgbClr>
              </a:solidFill>
              <a:prstDash val="solid"/>
              <a:round/>
            </a:ln>
            <a:effectLst/>
          </c:spPr>
          <c:marker>
            <c:symbol val="none"/>
          </c:marker>
          <c:dLbls>
            <c:spPr>
              <a:solidFill>
                <a:schemeClr val="bg2"/>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BASS!$C$9:$O$9</c:f>
              <c:strCache>
                <c:ptCount val="13"/>
                <c:pt idx="0">
                  <c:v>1 2018</c:v>
                </c:pt>
                <c:pt idx="1">
                  <c:v>2</c:v>
                </c:pt>
                <c:pt idx="2">
                  <c:v>3</c:v>
                </c:pt>
                <c:pt idx="3">
                  <c:v>4</c:v>
                </c:pt>
                <c:pt idx="4">
                  <c:v>5</c:v>
                </c:pt>
                <c:pt idx="5">
                  <c:v>6</c:v>
                </c:pt>
                <c:pt idx="6">
                  <c:v>7</c:v>
                </c:pt>
                <c:pt idx="7">
                  <c:v>8</c:v>
                </c:pt>
                <c:pt idx="8">
                  <c:v>9</c:v>
                </c:pt>
                <c:pt idx="9">
                  <c:v>10</c:v>
                </c:pt>
                <c:pt idx="10">
                  <c:v>11</c:v>
                </c:pt>
                <c:pt idx="11">
                  <c:v>12  2018</c:v>
                </c:pt>
                <c:pt idx="12">
                  <c:v>1  2019</c:v>
                </c:pt>
              </c:strCache>
            </c:strRef>
          </c:cat>
          <c:val>
            <c:numRef>
              <c:f>BASS!$C$14:$O$14</c:f>
              <c:numCache>
                <c:formatCode>0.0</c:formatCode>
                <c:ptCount val="13"/>
                <c:pt idx="0">
                  <c:v>24.964355152300712</c:v>
                </c:pt>
                <c:pt idx="1">
                  <c:v>15.178774766567969</c:v>
                </c:pt>
                <c:pt idx="2">
                  <c:v>5.3501430236254066</c:v>
                </c:pt>
                <c:pt idx="3">
                  <c:v>10.940943146760716</c:v>
                </c:pt>
                <c:pt idx="4">
                  <c:v>16.449442926213948</c:v>
                </c:pt>
                <c:pt idx="5">
                  <c:v>12.245277751930814</c:v>
                </c:pt>
                <c:pt idx="6">
                  <c:v>12.994239968759089</c:v>
                </c:pt>
                <c:pt idx="7">
                  <c:v>8.1449806556710485</c:v>
                </c:pt>
                <c:pt idx="8">
                  <c:v>13.622952487536736</c:v>
                </c:pt>
                <c:pt idx="9">
                  <c:v>9.9404355043454018</c:v>
                </c:pt>
                <c:pt idx="10">
                  <c:v>1.5205466268885885</c:v>
                </c:pt>
                <c:pt idx="11">
                  <c:v>-4.9295226228486229</c:v>
                </c:pt>
                <c:pt idx="12">
                  <c:v>1.9292604501607826</c:v>
                </c:pt>
              </c:numCache>
            </c:numRef>
          </c:val>
          <c:smooth val="1"/>
          <c:extLst xmlns:c16r2="http://schemas.microsoft.com/office/drawing/2015/06/chart">
            <c:ext xmlns:c16="http://schemas.microsoft.com/office/drawing/2014/chart" uri="{C3380CC4-5D6E-409C-BE32-E72D297353CC}">
              <c16:uniqueId val="{00000001-08B5-404C-8A98-C1B2EA64D7B0}"/>
            </c:ext>
          </c:extLst>
        </c:ser>
        <c:dLbls>
          <c:showLegendKey val="0"/>
          <c:showVal val="0"/>
          <c:showCatName val="0"/>
          <c:showSerName val="0"/>
          <c:showPercent val="0"/>
          <c:showBubbleSize val="0"/>
        </c:dLbls>
        <c:marker val="1"/>
        <c:smooth val="0"/>
        <c:axId val="687733208"/>
        <c:axId val="687737520"/>
      </c:lineChart>
      <c:catAx>
        <c:axId val="687732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737912"/>
        <c:crosses val="autoZero"/>
        <c:auto val="1"/>
        <c:lblAlgn val="ctr"/>
        <c:lblOffset val="100"/>
        <c:noMultiLvlLbl val="0"/>
      </c:catAx>
      <c:valAx>
        <c:axId val="687737912"/>
        <c:scaling>
          <c:orientation val="minMax"/>
          <c:min val="7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732816"/>
        <c:crosses val="autoZero"/>
        <c:crossBetween val="between"/>
      </c:valAx>
      <c:valAx>
        <c:axId val="687737520"/>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733208"/>
        <c:crosses val="max"/>
        <c:crossBetween val="between"/>
      </c:valAx>
      <c:catAx>
        <c:axId val="687733208"/>
        <c:scaling>
          <c:orientation val="minMax"/>
        </c:scaling>
        <c:delete val="1"/>
        <c:axPos val="b"/>
        <c:numFmt formatCode="General" sourceLinked="1"/>
        <c:majorTickMark val="out"/>
        <c:minorTickMark val="none"/>
        <c:tickLblPos val="nextTo"/>
        <c:crossAx val="6877375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latin typeface="Times New Roman" panose="02020603050405020304" pitchFamily="18" charset="0"/>
                <a:cs typeface="Times New Roman" panose="02020603050405020304" pitchFamily="18" charset="0"/>
              </a:rPr>
              <a:t>Datoria de stat la data de 31 </a:t>
            </a:r>
            <a:r>
              <a:rPr lang="ro-RO" sz="1200" b="1">
                <a:solidFill>
                  <a:schemeClr val="tx1"/>
                </a:solidFill>
                <a:latin typeface="Times New Roman" panose="02020603050405020304" pitchFamily="18" charset="0"/>
                <a:cs typeface="Times New Roman" panose="02020603050405020304" pitchFamily="18" charset="0"/>
              </a:rPr>
              <a:t>ianuarie</a:t>
            </a:r>
            <a:r>
              <a:rPr lang="en-US" sz="1200" b="1">
                <a:solidFill>
                  <a:schemeClr val="tx1"/>
                </a:solidFill>
                <a:latin typeface="Times New Roman" panose="02020603050405020304" pitchFamily="18" charset="0"/>
                <a:cs typeface="Times New Roman" panose="02020603050405020304" pitchFamily="18" charset="0"/>
              </a:rPr>
              <a:t> </a:t>
            </a:r>
            <a:r>
              <a:rPr lang="ro-RO" sz="1200" b="1">
                <a:solidFill>
                  <a:schemeClr val="tx1"/>
                </a:solidFill>
                <a:latin typeface="Times New Roman" panose="02020603050405020304" pitchFamily="18" charset="0"/>
                <a:cs typeface="Times New Roman" panose="02020603050405020304" pitchFamily="18" charset="0"/>
              </a:rPr>
              <a:t>2014-</a:t>
            </a:r>
            <a:r>
              <a:rPr lang="en-US" sz="1200" b="1">
                <a:solidFill>
                  <a:schemeClr val="tx1"/>
                </a:solidFill>
                <a:latin typeface="Times New Roman" panose="02020603050405020304" pitchFamily="18" charset="0"/>
                <a:cs typeface="Times New Roman" panose="02020603050405020304" pitchFamily="18" charset="0"/>
              </a:rPr>
              <a:t>201</a:t>
            </a:r>
            <a:r>
              <a:rPr lang="ro-RO" sz="1200" b="1">
                <a:solidFill>
                  <a:schemeClr val="tx1"/>
                </a:solidFill>
                <a:latin typeface="Times New Roman" panose="02020603050405020304" pitchFamily="18" charset="0"/>
                <a:cs typeface="Times New Roman" panose="02020603050405020304" pitchFamily="18" charset="0"/>
              </a:rPr>
              <a:t>9</a:t>
            </a:r>
            <a:r>
              <a:rPr lang="en-US" sz="1200" b="1">
                <a:solidFill>
                  <a:schemeClr val="tx1"/>
                </a:solidFill>
                <a:latin typeface="Times New Roman" panose="02020603050405020304" pitchFamily="18" charset="0"/>
                <a:cs typeface="Times New Roman" panose="02020603050405020304" pitchFamily="18" charset="0"/>
              </a:rPr>
              <a:t>, </a:t>
            </a:r>
            <a:r>
              <a:rPr lang="en-US" sz="1200" b="0">
                <a:solidFill>
                  <a:schemeClr val="tx1"/>
                </a:solidFill>
                <a:latin typeface="Times New Roman" panose="02020603050405020304" pitchFamily="18" charset="0"/>
                <a:cs typeface="Times New Roman" panose="02020603050405020304" pitchFamily="18" charset="0"/>
              </a:rPr>
              <a:t>mil.lei</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areaChart>
        <c:grouping val="stacked"/>
        <c:varyColors val="0"/>
        <c:ser>
          <c:idx val="0"/>
          <c:order val="0"/>
          <c:tx>
            <c:strRef>
              <c:f>'[Chart in Microsoft Word]Sheet1'!$B$3</c:f>
              <c:strCache>
                <c:ptCount val="1"/>
                <c:pt idx="0">
                  <c:v>Datoria de stat externă</c:v>
                </c:pt>
              </c:strCache>
            </c:strRef>
          </c:tx>
          <c:spPr>
            <a:solidFill>
              <a:schemeClr val="accent1">
                <a:shade val="76000"/>
              </a:schemeClr>
            </a:solidFill>
            <a:ln>
              <a:noFill/>
            </a:ln>
            <a:effectLst/>
          </c:spPr>
          <c:dLbls>
            <c:dLbl>
              <c:idx val="0"/>
              <c:layout>
                <c:manualLayout>
                  <c:x val="2.7777777777777776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AE5-4D8D-8B5D-936DF968EDB7}"/>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1-DAE5-4D8D-8B5D-936DF968EDB7}"/>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2-DAE5-4D8D-8B5D-936DF968EDB7}"/>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3-DAE5-4D8D-8B5D-936DF968EDB7}"/>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4-DAE5-4D8D-8B5D-936DF968EDB7}"/>
                </c:ext>
                <c:ext xmlns:c15="http://schemas.microsoft.com/office/drawing/2012/chart" uri="{CE6537A1-D6FC-4f65-9D91-7224C49458BB}"/>
              </c:extLst>
            </c:dLbl>
            <c:numFmt formatCode="#,##0" sourceLinked="0"/>
            <c:spPr>
              <a:solidFill>
                <a:schemeClr val="accent1">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Word]Sheet1'!$C$2:$H$2</c:f>
              <c:numCache>
                <c:formatCode>General</c:formatCode>
                <c:ptCount val="6"/>
                <c:pt idx="0">
                  <c:v>2014</c:v>
                </c:pt>
                <c:pt idx="1">
                  <c:v>2015</c:v>
                </c:pt>
                <c:pt idx="2">
                  <c:v>2016</c:v>
                </c:pt>
                <c:pt idx="3">
                  <c:v>2017</c:v>
                </c:pt>
                <c:pt idx="4">
                  <c:v>2018</c:v>
                </c:pt>
                <c:pt idx="5">
                  <c:v>2019</c:v>
                </c:pt>
              </c:numCache>
            </c:numRef>
          </c:cat>
          <c:val>
            <c:numRef>
              <c:f>'[Chart in Microsoft Word]Sheet1'!$C$3:$H$3</c:f>
              <c:numCache>
                <c:formatCode>0.0</c:formatCode>
                <c:ptCount val="6"/>
                <c:pt idx="0">
                  <c:v>17301.5</c:v>
                </c:pt>
                <c:pt idx="1">
                  <c:v>22865.271366200002</c:v>
                </c:pt>
                <c:pt idx="2">
                  <c:v>27457.439706500001</c:v>
                </c:pt>
                <c:pt idx="3">
                  <c:v>29711.838048639998</c:v>
                </c:pt>
                <c:pt idx="4">
                  <c:v>29157.859280856766</c:v>
                </c:pt>
                <c:pt idx="5" formatCode="General">
                  <c:v>29024.380564128733</c:v>
                </c:pt>
              </c:numCache>
            </c:numRef>
          </c:val>
          <c:extLst xmlns:c16r2="http://schemas.microsoft.com/office/drawing/2015/06/chart">
            <c:ext xmlns:c16="http://schemas.microsoft.com/office/drawing/2014/chart" uri="{C3380CC4-5D6E-409C-BE32-E72D297353CC}">
              <c16:uniqueId val="{00000005-DAE5-4D8D-8B5D-936DF968EDB7}"/>
            </c:ext>
          </c:extLst>
        </c:ser>
        <c:ser>
          <c:idx val="1"/>
          <c:order val="1"/>
          <c:tx>
            <c:strRef>
              <c:f>'[Chart in Microsoft Word]Sheet1'!$B$4</c:f>
              <c:strCache>
                <c:ptCount val="1"/>
                <c:pt idx="0">
                  <c:v>Datoria de stat internă</c:v>
                </c:pt>
              </c:strCache>
            </c:strRef>
          </c:tx>
          <c:spPr>
            <a:solidFill>
              <a:schemeClr val="accent1">
                <a:tint val="77000"/>
              </a:schemeClr>
            </a:solidFill>
            <a:ln>
              <a:noFill/>
            </a:ln>
            <a:effectLst/>
          </c:spPr>
          <c:dLbls>
            <c:dLbl>
              <c:idx val="0"/>
              <c:layout>
                <c:manualLayout>
                  <c:x val="-5.5555555555555558E-3"/>
                  <c:y val="3.935458480913026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AE5-4D8D-8B5D-936DF968EDB7}"/>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7-DAE5-4D8D-8B5D-936DF968EDB7}"/>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8-DAE5-4D8D-8B5D-936DF968EDB7}"/>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9-DAE5-4D8D-8B5D-936DF968EDB7}"/>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A-DAE5-4D8D-8B5D-936DF968EDB7}"/>
                </c:ext>
                <c:ext xmlns:c15="http://schemas.microsoft.com/office/drawing/2012/chart" uri="{CE6537A1-D6FC-4f65-9D91-7224C49458BB}"/>
              </c:extLst>
            </c:dLbl>
            <c:numFmt formatCode="#,##0" sourceLinked="0"/>
            <c:spPr>
              <a:solidFill>
                <a:schemeClr val="accent1">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Word]Sheet1'!$C$2:$H$2</c:f>
              <c:numCache>
                <c:formatCode>General</c:formatCode>
                <c:ptCount val="6"/>
                <c:pt idx="0">
                  <c:v>2014</c:v>
                </c:pt>
                <c:pt idx="1">
                  <c:v>2015</c:v>
                </c:pt>
                <c:pt idx="2">
                  <c:v>2016</c:v>
                </c:pt>
                <c:pt idx="3">
                  <c:v>2017</c:v>
                </c:pt>
                <c:pt idx="4">
                  <c:v>2018</c:v>
                </c:pt>
                <c:pt idx="5">
                  <c:v>2019</c:v>
                </c:pt>
              </c:numCache>
            </c:numRef>
          </c:cat>
          <c:val>
            <c:numRef>
              <c:f>'[Chart in Microsoft Word]Sheet1'!$C$4:$H$4</c:f>
              <c:numCache>
                <c:formatCode>0.0</c:formatCode>
                <c:ptCount val="6"/>
                <c:pt idx="0">
                  <c:v>6899.3</c:v>
                </c:pt>
                <c:pt idx="1">
                  <c:v>7239.8</c:v>
                </c:pt>
                <c:pt idx="2">
                  <c:v>7439.73</c:v>
                </c:pt>
                <c:pt idx="3">
                  <c:v>21364.78</c:v>
                </c:pt>
                <c:pt idx="4">
                  <c:v>22621.15</c:v>
                </c:pt>
                <c:pt idx="5" formatCode="General">
                  <c:v>23203.080916750001</c:v>
                </c:pt>
              </c:numCache>
            </c:numRef>
          </c:val>
          <c:extLst xmlns:c16r2="http://schemas.microsoft.com/office/drawing/2015/06/chart">
            <c:ext xmlns:c16="http://schemas.microsoft.com/office/drawing/2014/chart" uri="{C3380CC4-5D6E-409C-BE32-E72D297353CC}">
              <c16:uniqueId val="{0000000B-DAE5-4D8D-8B5D-936DF968EDB7}"/>
            </c:ext>
          </c:extLst>
        </c:ser>
        <c:dLbls>
          <c:showLegendKey val="0"/>
          <c:showVal val="0"/>
          <c:showCatName val="0"/>
          <c:showSerName val="0"/>
          <c:showPercent val="0"/>
          <c:showBubbleSize val="0"/>
        </c:dLbls>
        <c:axId val="687733600"/>
        <c:axId val="687736736"/>
      </c:areaChart>
      <c:catAx>
        <c:axId val="68773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736736"/>
        <c:crosses val="autoZero"/>
        <c:auto val="1"/>
        <c:lblAlgn val="ctr"/>
        <c:lblOffset val="100"/>
        <c:noMultiLvlLbl val="0"/>
      </c:catAx>
      <c:valAx>
        <c:axId val="687736736"/>
        <c:scaling>
          <c:orientation val="minMax"/>
          <c:max val="55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7336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Times New Roman"/>
                <a:ea typeface="Times New Roman"/>
                <a:cs typeface="Times New Roman"/>
              </a:defRPr>
            </a:pPr>
            <a:r>
              <a:rPr lang="en-US" i="0"/>
              <a:t>Datoria de stat internă (VMS în circulație) la situația din 3</a:t>
            </a:r>
            <a:r>
              <a:rPr lang="ro-RO" i="0"/>
              <a:t>1</a:t>
            </a:r>
            <a:r>
              <a:rPr lang="en-US" i="0"/>
              <a:t> </a:t>
            </a:r>
            <a:r>
              <a:rPr lang="ro-RO" i="0"/>
              <a:t>ianuarie</a:t>
            </a:r>
            <a:r>
              <a:rPr lang="en-US" i="0"/>
              <a:t> 2014-201</a:t>
            </a:r>
            <a:r>
              <a:rPr lang="ro-RO" i="0"/>
              <a:t>9</a:t>
            </a:r>
            <a:endParaRPr lang="en-US" i="0"/>
          </a:p>
        </c:rich>
      </c:tx>
      <c:layout>
        <c:manualLayout>
          <c:xMode val="edge"/>
          <c:yMode val="edge"/>
          <c:x val="0.15554855643044621"/>
          <c:y val="4.0204671385773751E-2"/>
        </c:manualLayout>
      </c:layout>
      <c:overlay val="0"/>
      <c:spPr>
        <a:noFill/>
        <a:ln w="25400">
          <a:noFill/>
        </a:ln>
      </c:spPr>
    </c:title>
    <c:autoTitleDeleted val="0"/>
    <c:plotArea>
      <c:layout>
        <c:manualLayout>
          <c:layoutTarget val="inner"/>
          <c:xMode val="edge"/>
          <c:yMode val="edge"/>
          <c:x val="0.12119203362385937"/>
          <c:y val="0.22207393567329509"/>
          <c:w val="0.86486351706036746"/>
          <c:h val="0.41816495395702663"/>
        </c:manualLayout>
      </c:layout>
      <c:barChart>
        <c:barDir val="col"/>
        <c:grouping val="stacked"/>
        <c:varyColors val="0"/>
        <c:ser>
          <c:idx val="0"/>
          <c:order val="0"/>
          <c:tx>
            <c:strRef>
              <c:f>'[Chart 2 in Microsoft Word]Sheet2'!$A$6</c:f>
              <c:strCache>
                <c:ptCount val="1"/>
                <c:pt idx="0">
                  <c:v>   VMS emise pe piaţa primară</c:v>
                </c:pt>
              </c:strCache>
            </c:strRef>
          </c:tx>
          <c:spPr>
            <a:pattFill prst="narHorz">
              <a:fgClr>
                <a:schemeClr val="accent1"/>
              </a:fgClr>
              <a:bgClr>
                <a:schemeClr val="bg1"/>
              </a:bgClr>
            </a:pattFill>
            <a:ln>
              <a:noFill/>
            </a:ln>
            <a:effectLst/>
            <a:scene3d>
              <a:camera prst="orthographicFront"/>
              <a:lightRig rig="threePt" dir="t"/>
            </a:scene3d>
            <a:sp3d>
              <a:bevelT w="38100"/>
            </a:sp3d>
          </c:spPr>
          <c:invertIfNegative val="0"/>
          <c:cat>
            <c:numRef>
              <c:f>'[Chart 2 in Microsoft Word]Sheet2'!$B$5:$G$5</c:f>
              <c:numCache>
                <c:formatCode>General</c:formatCode>
                <c:ptCount val="6"/>
                <c:pt idx="0">
                  <c:v>2014</c:v>
                </c:pt>
                <c:pt idx="1">
                  <c:v>2015</c:v>
                </c:pt>
                <c:pt idx="2">
                  <c:v>2016</c:v>
                </c:pt>
                <c:pt idx="3">
                  <c:v>2017</c:v>
                </c:pt>
                <c:pt idx="4">
                  <c:v>2018</c:v>
                </c:pt>
                <c:pt idx="5">
                  <c:v>2019</c:v>
                </c:pt>
              </c:numCache>
            </c:numRef>
          </c:cat>
          <c:val>
            <c:numRef>
              <c:f>'[Chart 2 in Microsoft Word]Sheet2'!$B$6:$G$6</c:f>
              <c:numCache>
                <c:formatCode>General</c:formatCode>
                <c:ptCount val="6"/>
                <c:pt idx="0">
                  <c:v>4649.6000000000004</c:v>
                </c:pt>
                <c:pt idx="1">
                  <c:v>5083.22</c:v>
                </c:pt>
                <c:pt idx="2">
                  <c:v>5376.34</c:v>
                </c:pt>
                <c:pt idx="3">
                  <c:v>5960.19</c:v>
                </c:pt>
                <c:pt idx="4" formatCode="0.0">
                  <c:v>7266.56</c:v>
                </c:pt>
                <c:pt idx="5">
                  <c:v>8058.48908295</c:v>
                </c:pt>
              </c:numCache>
            </c:numRef>
          </c:val>
          <c:extLst xmlns:c16r2="http://schemas.microsoft.com/office/drawing/2015/06/chart">
            <c:ext xmlns:c16="http://schemas.microsoft.com/office/drawing/2014/chart" uri="{C3380CC4-5D6E-409C-BE32-E72D297353CC}">
              <c16:uniqueId val="{00000000-E168-4656-A998-2D3562A7A47E}"/>
            </c:ext>
          </c:extLst>
        </c:ser>
        <c:ser>
          <c:idx val="1"/>
          <c:order val="1"/>
          <c:tx>
            <c:strRef>
              <c:f>'[Chart 2 in Microsoft Word]Sheet2'!$A$7</c:f>
              <c:strCache>
                <c:ptCount val="1"/>
                <c:pt idx="0">
                  <c:v>   VMS convertite</c:v>
                </c:pt>
              </c:strCache>
            </c:strRef>
          </c:tx>
          <c:spPr>
            <a:pattFill prst="dashHorz">
              <a:fgClr>
                <a:schemeClr val="accent1"/>
              </a:fgClr>
              <a:bgClr>
                <a:schemeClr val="bg1"/>
              </a:bgClr>
            </a:pattFill>
            <a:ln>
              <a:noFill/>
            </a:ln>
            <a:effectLst/>
            <a:scene3d>
              <a:camera prst="orthographicFront"/>
              <a:lightRig rig="threePt" dir="t"/>
            </a:scene3d>
            <a:sp3d>
              <a:bevelT w="38100"/>
            </a:sp3d>
          </c:spPr>
          <c:invertIfNegative val="0"/>
          <c:cat>
            <c:numRef>
              <c:f>'[Chart 2 in Microsoft Word]Sheet2'!$B$5:$G$5</c:f>
              <c:numCache>
                <c:formatCode>General</c:formatCode>
                <c:ptCount val="6"/>
                <c:pt idx="0">
                  <c:v>2014</c:v>
                </c:pt>
                <c:pt idx="1">
                  <c:v>2015</c:v>
                </c:pt>
                <c:pt idx="2">
                  <c:v>2016</c:v>
                </c:pt>
                <c:pt idx="3">
                  <c:v>2017</c:v>
                </c:pt>
                <c:pt idx="4">
                  <c:v>2018</c:v>
                </c:pt>
                <c:pt idx="5">
                  <c:v>2019</c:v>
                </c:pt>
              </c:numCache>
            </c:numRef>
          </c:cat>
          <c:val>
            <c:numRef>
              <c:f>'[Chart 2 in Microsoft Word]Sheet2'!$B$7:$G$7</c:f>
              <c:numCache>
                <c:formatCode>General</c:formatCode>
                <c:ptCount val="6"/>
                <c:pt idx="0">
                  <c:v>2063.4</c:v>
                </c:pt>
                <c:pt idx="1">
                  <c:v>2063.4</c:v>
                </c:pt>
                <c:pt idx="2">
                  <c:v>2063.4</c:v>
                </c:pt>
                <c:pt idx="3">
                  <c:v>2063.39</c:v>
                </c:pt>
                <c:pt idx="4" formatCode="0.0">
                  <c:v>2063.3918337999999</c:v>
                </c:pt>
                <c:pt idx="5" formatCode="0.0">
                  <c:v>2063.3918337999999</c:v>
                </c:pt>
              </c:numCache>
            </c:numRef>
          </c:val>
          <c:extLst xmlns:c16r2="http://schemas.microsoft.com/office/drawing/2015/06/chart">
            <c:ext xmlns:c16="http://schemas.microsoft.com/office/drawing/2014/chart" uri="{C3380CC4-5D6E-409C-BE32-E72D297353CC}">
              <c16:uniqueId val="{00000001-E168-4656-A998-2D3562A7A47E}"/>
            </c:ext>
          </c:extLst>
        </c:ser>
        <c:ser>
          <c:idx val="2"/>
          <c:order val="2"/>
          <c:tx>
            <c:strRef>
              <c:f>'[Chart 2 in Microsoft Word]Sheet2'!$A$8</c:f>
              <c:strCache>
                <c:ptCount val="1"/>
                <c:pt idx="0">
                  <c:v>   VMS emise pentru executarea garanțiilor de  stat</c:v>
                </c:pt>
              </c:strCache>
            </c:strRef>
          </c:tx>
          <c:spPr>
            <a:solidFill>
              <a:schemeClr val="tx2">
                <a:lumMod val="40000"/>
                <a:lumOff val="60000"/>
              </a:schemeClr>
            </a:solidFill>
            <a:ln>
              <a:noFill/>
            </a:ln>
            <a:effectLst/>
            <a:scene3d>
              <a:camera prst="orthographicFront"/>
              <a:lightRig rig="threePt" dir="t"/>
            </a:scene3d>
            <a:sp3d>
              <a:bevelT w="38100"/>
            </a:sp3d>
          </c:spPr>
          <c:invertIfNegative val="0"/>
          <c:cat>
            <c:numRef>
              <c:f>'[Chart 2 in Microsoft Word]Sheet2'!$B$5:$G$5</c:f>
              <c:numCache>
                <c:formatCode>General</c:formatCode>
                <c:ptCount val="6"/>
                <c:pt idx="0">
                  <c:v>2014</c:v>
                </c:pt>
                <c:pt idx="1">
                  <c:v>2015</c:v>
                </c:pt>
                <c:pt idx="2">
                  <c:v>2016</c:v>
                </c:pt>
                <c:pt idx="3">
                  <c:v>2017</c:v>
                </c:pt>
                <c:pt idx="4">
                  <c:v>2018</c:v>
                </c:pt>
                <c:pt idx="5">
                  <c:v>2019</c:v>
                </c:pt>
              </c:numCache>
            </c:numRef>
          </c:cat>
          <c:val>
            <c:numRef>
              <c:f>'[Chart 2 in Microsoft Word]Sheet2'!$B$8:$G$8</c:f>
              <c:numCache>
                <c:formatCode>General</c:formatCode>
                <c:ptCount val="6"/>
                <c:pt idx="0">
                  <c:v>93.14</c:v>
                </c:pt>
                <c:pt idx="1">
                  <c:v>0</c:v>
                </c:pt>
                <c:pt idx="2">
                  <c:v>13341.2</c:v>
                </c:pt>
                <c:pt idx="3">
                  <c:v>13291.2</c:v>
                </c:pt>
                <c:pt idx="4" formatCode="0.0">
                  <c:v>13081.2</c:v>
                </c:pt>
                <c:pt idx="5" formatCode="0.0">
                  <c:v>13081.2</c:v>
                </c:pt>
              </c:numCache>
            </c:numRef>
          </c:val>
          <c:extLst xmlns:c16r2="http://schemas.microsoft.com/office/drawing/2015/06/chart">
            <c:ext xmlns:c16="http://schemas.microsoft.com/office/drawing/2014/chart" uri="{C3380CC4-5D6E-409C-BE32-E72D297353CC}">
              <c16:uniqueId val="{00000002-E168-4656-A998-2D3562A7A47E}"/>
            </c:ext>
          </c:extLst>
        </c:ser>
        <c:dLbls>
          <c:showLegendKey val="0"/>
          <c:showVal val="0"/>
          <c:showCatName val="0"/>
          <c:showSerName val="0"/>
          <c:showPercent val="0"/>
          <c:showBubbleSize val="0"/>
        </c:dLbls>
        <c:gapWidth val="150"/>
        <c:overlap val="100"/>
        <c:axId val="687733992"/>
        <c:axId val="687736344"/>
      </c:barChart>
      <c:lineChart>
        <c:grouping val="standard"/>
        <c:varyColors val="0"/>
        <c:ser>
          <c:idx val="3"/>
          <c:order val="3"/>
          <c:tx>
            <c:strRef>
              <c:f>'[Chart 2 in Microsoft Word]Sheet2'!$A$9</c:f>
              <c:strCache>
                <c:ptCount val="1"/>
                <c:pt idx="0">
                  <c:v>Total VMS în circulație</c:v>
                </c:pt>
              </c:strCache>
            </c:strRef>
          </c:tx>
          <c:spPr>
            <a:ln w="15875" cap="sq">
              <a:solidFill>
                <a:srgbClr val="5B9BD5">
                  <a:shade val="58000"/>
                </a:srgbClr>
              </a:solidFill>
              <a:round/>
            </a:ln>
            <a:effectLst/>
          </c:spPr>
          <c:marker>
            <c:symbol val="none"/>
          </c:marker>
          <c:dLbls>
            <c:dLbl>
              <c:idx val="2"/>
              <c:layout>
                <c:manualLayout>
                  <c:x val="-8.072222222222232E-2"/>
                  <c:y val="-3.8695352474880096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168-4656-A998-2D3562A7A47E}"/>
                </c:ext>
                <c:ext xmlns:c15="http://schemas.microsoft.com/office/drawing/2012/chart" uri="{CE6537A1-D6FC-4f65-9D91-7224C49458BB}"/>
              </c:extLst>
            </c:dLbl>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'[Chart 2 in Microsoft Word]Sheet2'!$B$5:$G$5</c:f>
              <c:numCache>
                <c:formatCode>General</c:formatCode>
                <c:ptCount val="6"/>
                <c:pt idx="0">
                  <c:v>2014</c:v>
                </c:pt>
                <c:pt idx="1">
                  <c:v>2015</c:v>
                </c:pt>
                <c:pt idx="2">
                  <c:v>2016</c:v>
                </c:pt>
                <c:pt idx="3">
                  <c:v>2017</c:v>
                </c:pt>
                <c:pt idx="4">
                  <c:v>2018</c:v>
                </c:pt>
                <c:pt idx="5">
                  <c:v>2019</c:v>
                </c:pt>
              </c:numCache>
            </c:numRef>
          </c:cat>
          <c:val>
            <c:numRef>
              <c:f>'[Chart 2 in Microsoft Word]Sheet2'!$B$9:$G$9</c:f>
              <c:numCache>
                <c:formatCode>0.0</c:formatCode>
                <c:ptCount val="6"/>
                <c:pt idx="0">
                  <c:v>6806.14</c:v>
                </c:pt>
                <c:pt idx="1">
                  <c:v>7146.6200000000008</c:v>
                </c:pt>
                <c:pt idx="2">
                  <c:v>20780.940000000002</c:v>
                </c:pt>
                <c:pt idx="3">
                  <c:v>21314.78</c:v>
                </c:pt>
                <c:pt idx="4">
                  <c:v>22411.151833800002</c:v>
                </c:pt>
                <c:pt idx="5">
                  <c:v>23203.080916750001</c:v>
                </c:pt>
              </c:numCache>
            </c:numRef>
          </c:val>
          <c:smooth val="0"/>
          <c:extLst xmlns:c16r2="http://schemas.microsoft.com/office/drawing/2015/06/chart">
            <c:ext xmlns:c16="http://schemas.microsoft.com/office/drawing/2014/chart" uri="{C3380CC4-5D6E-409C-BE32-E72D297353CC}">
              <c16:uniqueId val="{00000004-E168-4656-A998-2D3562A7A47E}"/>
            </c:ext>
          </c:extLst>
        </c:ser>
        <c:dLbls>
          <c:showLegendKey val="0"/>
          <c:showVal val="0"/>
          <c:showCatName val="0"/>
          <c:showSerName val="0"/>
          <c:showPercent val="0"/>
          <c:showBubbleSize val="0"/>
        </c:dLbls>
        <c:marker val="1"/>
        <c:smooth val="0"/>
        <c:axId val="687733992"/>
        <c:axId val="687736344"/>
      </c:lineChart>
      <c:catAx>
        <c:axId val="687733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687736344"/>
        <c:crosses val="autoZero"/>
        <c:auto val="1"/>
        <c:lblAlgn val="ctr"/>
        <c:lblOffset val="100"/>
        <c:noMultiLvlLbl val="0"/>
      </c:catAx>
      <c:valAx>
        <c:axId val="687736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en-US"/>
          </a:p>
        </c:txPr>
        <c:crossAx val="687733992"/>
        <c:crosses val="autoZero"/>
        <c:crossBetween val="between"/>
      </c:valAx>
      <c:spPr>
        <a:noFill/>
        <a:ln w="25400">
          <a:noFill/>
        </a:ln>
      </c:spPr>
    </c:plotArea>
    <c:legend>
      <c:legendPos val="b"/>
      <c:layout>
        <c:manualLayout>
          <c:xMode val="edge"/>
          <c:yMode val="edge"/>
          <c:x val="3.6816666344225396E-2"/>
          <c:y val="0.78692408872231934"/>
          <c:w val="0.9507292379098492"/>
          <c:h val="0.15488374559240703"/>
        </c:manualLayout>
      </c:layout>
      <c:overlay val="0"/>
      <c:spPr>
        <a:noFill/>
        <a:ln w="25400">
          <a:noFill/>
        </a:ln>
      </c:spPr>
      <c:txPr>
        <a:bodyPr/>
        <a:lstStyle/>
        <a:p>
          <a:pPr>
            <a:defRPr sz="825"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25" cap="flat" cmpd="sng" algn="ctr">
      <a:solidFill>
        <a:srgbClr val="A5A5A5">
          <a:lumMod val="60000"/>
          <a:lumOff val="40000"/>
        </a:srgb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o-RO" sz="1200" b="1" i="0" baseline="0">
                <a:solidFill>
                  <a:sysClr val="windowText" lastClr="000000"/>
                </a:solidFill>
                <a:effectLst/>
                <a:latin typeface="Times New Roman" panose="02020603050405020304" pitchFamily="18" charset="0"/>
                <a:cs typeface="Times New Roman" panose="02020603050405020304" pitchFamily="18" charset="0"/>
              </a:rPr>
              <a:t>Structur</a:t>
            </a:r>
            <a:r>
              <a:rPr lang="en-US" sz="1200" b="1" i="0" baseline="0">
                <a:solidFill>
                  <a:sysClr val="windowText" lastClr="000000"/>
                </a:solidFill>
                <a:effectLst/>
                <a:latin typeface="Times New Roman" panose="02020603050405020304" pitchFamily="18" charset="0"/>
                <a:cs typeface="Times New Roman" panose="02020603050405020304" pitchFamily="18" charset="0"/>
              </a:rPr>
              <a:t>a</a:t>
            </a:r>
            <a:r>
              <a:rPr lang="ro-RO" sz="1200" b="1" i="0" baseline="0">
                <a:solidFill>
                  <a:sysClr val="windowText" lastClr="000000"/>
                </a:solidFill>
                <a:effectLst/>
                <a:latin typeface="Times New Roman" panose="02020603050405020304" pitchFamily="18" charset="0"/>
                <a:cs typeface="Times New Roman" panose="02020603050405020304" pitchFamily="18" charset="0"/>
              </a:rPr>
              <a:t> pe maturități</a:t>
            </a:r>
            <a:endParaRPr lang="en-US" sz="12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6158070203345796"/>
          <c:y val="0.23421470464340105"/>
          <c:w val="0.52255753781284431"/>
          <c:h val="0.66311677256559143"/>
        </c:manualLayout>
      </c:layout>
      <c:pieChart>
        <c:varyColors val="1"/>
        <c:ser>
          <c:idx val="0"/>
          <c:order val="0"/>
          <c:spPr>
            <a:ln w="6350">
              <a:solidFill>
                <a:schemeClr val="accent1"/>
              </a:solidFill>
            </a:ln>
            <a:scene3d>
              <a:camera prst="orthographicFront"/>
              <a:lightRig rig="threePt" dir="t"/>
            </a:scene3d>
            <a:sp3d>
              <a:bevelT w="38100"/>
            </a:sp3d>
          </c:spPr>
          <c:dPt>
            <c:idx val="0"/>
            <c:bubble3D val="0"/>
            <c:spPr>
              <a:pattFill prst="ltDnDiag">
                <a:fgClr>
                  <a:schemeClr val="accent1"/>
                </a:fgClr>
                <a:bgClr>
                  <a:schemeClr val="bg1"/>
                </a:bgClr>
              </a:pattFill>
              <a:ln w="6350">
                <a:solidFill>
                  <a:schemeClr val="accent1"/>
                </a:solidFill>
              </a:ln>
              <a:effectLst/>
              <a:scene3d>
                <a:camera prst="orthographicFront"/>
                <a:lightRig rig="threePt" dir="t"/>
              </a:scene3d>
              <a:sp3d>
                <a:bevelT w="38100"/>
              </a:sp3d>
            </c:spPr>
            <c:extLst xmlns:c16r2="http://schemas.microsoft.com/office/drawing/2015/06/chart">
              <c:ext xmlns:c16="http://schemas.microsoft.com/office/drawing/2014/chart" uri="{C3380CC4-5D6E-409C-BE32-E72D297353CC}">
                <c16:uniqueId val="{00000001-9598-4493-83F4-9D1F4C9CFA2E}"/>
              </c:ext>
            </c:extLst>
          </c:dPt>
          <c:dPt>
            <c:idx val="1"/>
            <c:bubble3D val="0"/>
            <c:spPr>
              <a:pattFill prst="pct20">
                <a:fgClr>
                  <a:schemeClr val="accent1"/>
                </a:fgClr>
                <a:bgClr>
                  <a:schemeClr val="bg1"/>
                </a:bgClr>
              </a:pattFill>
              <a:ln w="6350">
                <a:solidFill>
                  <a:schemeClr val="accent1"/>
                </a:solidFill>
              </a:ln>
              <a:effectLst/>
              <a:scene3d>
                <a:camera prst="orthographicFront"/>
                <a:lightRig rig="threePt" dir="t"/>
              </a:scene3d>
              <a:sp3d>
                <a:bevelT w="38100"/>
              </a:sp3d>
            </c:spPr>
            <c:extLst xmlns:c16r2="http://schemas.microsoft.com/office/drawing/2015/06/chart">
              <c:ext xmlns:c16="http://schemas.microsoft.com/office/drawing/2014/chart" uri="{C3380CC4-5D6E-409C-BE32-E72D297353CC}">
                <c16:uniqueId val="{00000003-9598-4493-83F4-9D1F4C9CFA2E}"/>
              </c:ext>
            </c:extLst>
          </c:dPt>
          <c:dPt>
            <c:idx val="2"/>
            <c:bubble3D val="0"/>
            <c:spPr>
              <a:pattFill prst="pct30">
                <a:fgClr>
                  <a:schemeClr val="accent1"/>
                </a:fgClr>
                <a:bgClr>
                  <a:schemeClr val="bg1"/>
                </a:bgClr>
              </a:pattFill>
              <a:ln w="6350">
                <a:solidFill>
                  <a:schemeClr val="accent1"/>
                </a:solidFill>
              </a:ln>
              <a:effectLst/>
              <a:scene3d>
                <a:camera prst="orthographicFront"/>
                <a:lightRig rig="threePt" dir="t"/>
              </a:scene3d>
              <a:sp3d>
                <a:bevelT w="38100"/>
              </a:sp3d>
            </c:spPr>
            <c:extLst xmlns:c16r2="http://schemas.microsoft.com/office/drawing/2015/06/chart">
              <c:ext xmlns:c16="http://schemas.microsoft.com/office/drawing/2014/chart" uri="{C3380CC4-5D6E-409C-BE32-E72D297353CC}">
                <c16:uniqueId val="{00000005-9598-4493-83F4-9D1F4C9CFA2E}"/>
              </c:ext>
            </c:extLst>
          </c:dPt>
          <c:dPt>
            <c:idx val="3"/>
            <c:bubble3D val="0"/>
            <c:spPr>
              <a:pattFill prst="narHorz">
                <a:fgClr>
                  <a:schemeClr val="accent1"/>
                </a:fgClr>
                <a:bgClr>
                  <a:schemeClr val="bg1"/>
                </a:bgClr>
              </a:pattFill>
              <a:ln w="6350">
                <a:solidFill>
                  <a:schemeClr val="accent1"/>
                </a:solidFill>
              </a:ln>
              <a:effectLst/>
              <a:scene3d>
                <a:camera prst="orthographicFront"/>
                <a:lightRig rig="threePt" dir="t"/>
              </a:scene3d>
              <a:sp3d>
                <a:bevelT w="38100"/>
              </a:sp3d>
            </c:spPr>
            <c:extLst xmlns:c16r2="http://schemas.microsoft.com/office/drawing/2015/06/chart">
              <c:ext xmlns:c16="http://schemas.microsoft.com/office/drawing/2014/chart" uri="{C3380CC4-5D6E-409C-BE32-E72D297353CC}">
                <c16:uniqueId val="{00000007-9598-4493-83F4-9D1F4C9CFA2E}"/>
              </c:ext>
            </c:extLst>
          </c:dPt>
          <c:dPt>
            <c:idx val="4"/>
            <c:bubble3D val="0"/>
            <c:spPr>
              <a:pattFill prst="shingle">
                <a:fgClr>
                  <a:schemeClr val="accent1"/>
                </a:fgClr>
                <a:bgClr>
                  <a:schemeClr val="bg1"/>
                </a:bgClr>
              </a:pattFill>
              <a:ln w="6350">
                <a:solidFill>
                  <a:schemeClr val="accent1"/>
                </a:solidFill>
              </a:ln>
              <a:effectLst/>
              <a:scene3d>
                <a:camera prst="orthographicFront"/>
                <a:lightRig rig="threePt" dir="t"/>
              </a:scene3d>
              <a:sp3d>
                <a:bevelT w="38100"/>
              </a:sp3d>
            </c:spPr>
            <c:extLst xmlns:c16r2="http://schemas.microsoft.com/office/drawing/2015/06/chart">
              <c:ext xmlns:c16="http://schemas.microsoft.com/office/drawing/2014/chart" uri="{C3380CC4-5D6E-409C-BE32-E72D297353CC}">
                <c16:uniqueId val="{00000009-9598-4493-83F4-9D1F4C9CFA2E}"/>
              </c:ext>
            </c:extLst>
          </c:dPt>
          <c:dPt>
            <c:idx val="5"/>
            <c:bubble3D val="0"/>
            <c:spPr>
              <a:solidFill>
                <a:schemeClr val="accent1"/>
              </a:solidFill>
              <a:ln w="6350">
                <a:solidFill>
                  <a:schemeClr val="accent1"/>
                </a:solidFill>
              </a:ln>
              <a:effectLst/>
              <a:scene3d>
                <a:camera prst="orthographicFront"/>
                <a:lightRig rig="threePt" dir="t"/>
              </a:scene3d>
              <a:sp3d>
                <a:bevelT w="38100"/>
              </a:sp3d>
            </c:spPr>
            <c:extLst xmlns:c16r2="http://schemas.microsoft.com/office/drawing/2015/06/chart">
              <c:ext xmlns:c16="http://schemas.microsoft.com/office/drawing/2014/chart" uri="{C3380CC4-5D6E-409C-BE32-E72D297353CC}">
                <c16:uniqueId val="{0000000B-9598-4493-83F4-9D1F4C9CFA2E}"/>
              </c:ext>
            </c:extLst>
          </c:dPt>
          <c:dLbls>
            <c:dLbl>
              <c:idx val="0"/>
              <c:layout>
                <c:manualLayout>
                  <c:x val="-3.5081543446010645E-2"/>
                  <c:y val="-2.0740650661910604E-3"/>
                </c:manualLayout>
              </c:layout>
              <c:tx>
                <c:rich>
                  <a:bodyPr/>
                  <a:lstStyle/>
                  <a:p>
                    <a:fld id="{DDD501BC-F246-442B-AD0F-DFCDA4DF2219}" type="CATEGORYNAME">
                      <a:rPr lang="en-US"/>
                      <a:pPr/>
                      <a:t>[CATEGORY NAME]</a:t>
                    </a:fld>
                    <a:r>
                      <a:rPr lang="en-US" baseline="0"/>
                      <a:t>
</a:t>
                    </a:r>
                    <a:fld id="{E14B95E1-D02D-49E0-BAFB-92248792E162}" type="PERCENTAGE">
                      <a:rPr lang="en-US" b="0" baseline="0"/>
                      <a:pPr/>
                      <a:t>[PERCENTAGE]</a:t>
                    </a:fld>
                    <a:endParaRPr lang="en-US" baseline="0"/>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9598-4493-83F4-9D1F4C9CFA2E}"/>
                </c:ext>
                <c:ext xmlns:c15="http://schemas.microsoft.com/office/drawing/2012/chart" uri="{CE6537A1-D6FC-4f65-9D91-7224C49458BB}">
                  <c15:dlblFieldTable/>
                  <c15:showDataLabelsRange val="0"/>
                </c:ext>
              </c:extLst>
            </c:dLbl>
            <c:dLbl>
              <c:idx val="1"/>
              <c:layout>
                <c:manualLayout>
                  <c:x val="3.1215734139091573E-3"/>
                  <c:y val="-1.7671101923070427E-2"/>
                </c:manualLayout>
              </c:layout>
              <c:tx>
                <c:rich>
                  <a:bodyPr/>
                  <a:lstStyle/>
                  <a:p>
                    <a:fld id="{8DC5F780-8E26-4B89-84AC-0BDED5111788}" type="CATEGORYNAME">
                      <a:rPr lang="en-US"/>
                      <a:pPr/>
                      <a:t>[CATEGORY NAME]</a:t>
                    </a:fld>
                    <a:r>
                      <a:rPr lang="en-US" baseline="0"/>
                      <a:t>
</a:t>
                    </a:r>
                    <a:fld id="{3AFD6C01-B27D-438E-A127-48BE84614D2F}" type="PERCENTAGE">
                      <a:rPr lang="en-US" b="0" baseline="0"/>
                      <a:pPr/>
                      <a:t>[PERCENTAGE]</a:t>
                    </a:fld>
                    <a:endParaRPr lang="en-US" baseline="0"/>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9598-4493-83F4-9D1F4C9CFA2E}"/>
                </c:ext>
                <c:ext xmlns:c15="http://schemas.microsoft.com/office/drawing/2012/chart" uri="{CE6537A1-D6FC-4f65-9D91-7224C49458BB}">
                  <c15:dlblFieldTable/>
                  <c15:showDataLabelsRange val="0"/>
                </c:ext>
              </c:extLst>
            </c:dLbl>
            <c:dLbl>
              <c:idx val="2"/>
              <c:layout>
                <c:manualLayout>
                  <c:x val="-1.800480280229623E-2"/>
                  <c:y val="-3.4777071784945879E-2"/>
                </c:manualLayout>
              </c:layout>
              <c:tx>
                <c:rich>
                  <a:bodyPr rot="0" spcFirstLastPara="1" vertOverflow="ellipsis" vert="horz" wrap="square" lIns="38100" tIns="19050" rIns="38100" bIns="19050" anchor="ctr" anchorCtr="0">
                    <a:spAutoFit/>
                  </a:bodyPr>
                  <a:lstStyle/>
                  <a:p>
                    <a:pPr algn="ct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71A6B950-3580-4D63-B987-129F8A6B8870}" type="CATEGORYNAME">
                      <a:rPr lang="en-US">
                        <a:latin typeface="Times New Roman" panose="02020603050405020304" pitchFamily="18" charset="0"/>
                        <a:cs typeface="Times New Roman" panose="02020603050405020304" pitchFamily="18" charset="0"/>
                      </a:rPr>
                      <a:pPr algn="ctr">
                        <a:defRPr b="1">
                          <a:latin typeface="Times New Roman" panose="02020603050405020304" pitchFamily="18" charset="0"/>
                          <a:cs typeface="Times New Roman" panose="02020603050405020304" pitchFamily="18" charset="0"/>
                        </a:defRPr>
                      </a:pPr>
                      <a:t>[CATEGORY NAME]</a:t>
                    </a:fld>
                    <a:r>
                      <a:rPr lang="en-US" baseline="0">
                        <a:latin typeface="Times New Roman" panose="02020603050405020304" pitchFamily="18" charset="0"/>
                        <a:cs typeface="Times New Roman" panose="02020603050405020304" pitchFamily="18" charset="0"/>
                      </a:rPr>
                      <a:t>
</a:t>
                    </a:r>
                    <a:fld id="{4E1F157C-6604-4094-A1E4-10A9E8FA056B}" type="PERCENTAGE">
                      <a:rPr lang="en-US" b="0" baseline="0">
                        <a:latin typeface="Times New Roman" panose="02020603050405020304" pitchFamily="18" charset="0"/>
                        <a:cs typeface="Times New Roman" panose="02020603050405020304" pitchFamily="18" charset="0"/>
                      </a:rPr>
                      <a:pPr algn="ctr">
                        <a:defRPr b="1">
                          <a:latin typeface="Times New Roman" panose="02020603050405020304" pitchFamily="18" charset="0"/>
                          <a:cs typeface="Times New Roman" panose="02020603050405020304" pitchFamily="18" charset="0"/>
                        </a:defRPr>
                      </a:pPr>
                      <a:t>[PERCENTAGE]</a:t>
                    </a:fld>
                    <a:endParaRPr lang="en-US" baseline="0">
                      <a:latin typeface="Times New Roman" panose="02020603050405020304" pitchFamily="18" charset="0"/>
                      <a:cs typeface="Times New Roman" panose="02020603050405020304" pitchFamily="18" charset="0"/>
                    </a:endParaRPr>
                  </a:p>
                </c:rich>
              </c:tx>
              <c:numFmt formatCode="General" sourceLinked="0"/>
              <c:spPr>
                <a:solidFill>
                  <a:schemeClr val="bg1"/>
                </a:solidFill>
                <a:ln>
                  <a:noFill/>
                </a:ln>
                <a:effectLst/>
              </c:spPr>
              <c:txPr>
                <a:bodyPr rot="0" spcFirstLastPara="1" vertOverflow="ellipsis" vert="horz" wrap="square" lIns="38100" tIns="19050" rIns="38100" bIns="19050" anchor="ctr" anchorCtr="0">
                  <a:spAutoFit/>
                </a:bodyPr>
                <a:lstStyle/>
                <a:p>
                  <a:pPr algn="ct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9598-4493-83F4-9D1F4C9CFA2E}"/>
                </c:ext>
                <c:ext xmlns:c15="http://schemas.microsoft.com/office/drawing/2012/chart" uri="{CE6537A1-D6FC-4f65-9D91-7224C49458BB}">
                  <c15:dlblFieldTable/>
                  <c15:showDataLabelsRange val="0"/>
                </c:ext>
              </c:extLst>
            </c:dLbl>
            <c:dLbl>
              <c:idx val="3"/>
              <c:layout>
                <c:manualLayout>
                  <c:x val="-9.6539799254771793E-3"/>
                  <c:y val="3.1768326256515211E-2"/>
                </c:manualLayout>
              </c:layout>
              <c:tx>
                <c:rich>
                  <a:bodyPr/>
                  <a:lstStyle/>
                  <a:p>
                    <a:fld id="{D1A446BC-5CD2-4B24-B9D1-23C157ABD5FE}" type="CATEGORYNAME">
                      <a:rPr lang="en-US"/>
                      <a:pPr/>
                      <a:t>[CATEGORY NAME]</a:t>
                    </a:fld>
                    <a:r>
                      <a:rPr lang="en-US" baseline="0"/>
                      <a:t>
</a:t>
                    </a:r>
                    <a:fld id="{B87179A5-8DED-4D47-9F62-68B85152FC43}" type="PERCENTAGE">
                      <a:rPr lang="en-US" b="0" baseline="0"/>
                      <a:pPr/>
                      <a:t>[PERCENTAGE]</a:t>
                    </a:fld>
                    <a:endParaRPr lang="en-US" baseline="0"/>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9598-4493-83F4-9D1F4C9CFA2E}"/>
                </c:ext>
                <c:ext xmlns:c15="http://schemas.microsoft.com/office/drawing/2012/chart" uri="{CE6537A1-D6FC-4f65-9D91-7224C49458BB}">
                  <c15:dlblFieldTable/>
                  <c15:showDataLabelsRange val="0"/>
                </c:ext>
              </c:extLst>
            </c:dLbl>
            <c:dLbl>
              <c:idx val="4"/>
              <c:layout>
                <c:manualLayout>
                  <c:x val="1.0992860296999737E-2"/>
                  <c:y val="4.3913429740201396E-5"/>
                </c:manualLayout>
              </c:layout>
              <c:tx>
                <c:rich>
                  <a:bodyPr/>
                  <a:lstStyle/>
                  <a:p>
                    <a:fld id="{0BD1A903-2FD3-42BF-81D0-C1CDF8823A61}" type="CATEGORYNAME">
                      <a:rPr lang="en-US"/>
                      <a:pPr/>
                      <a:t>[CATEGORY NAME]</a:t>
                    </a:fld>
                    <a:r>
                      <a:rPr lang="en-US" baseline="0"/>
                      <a:t>
</a:t>
                    </a:r>
                    <a:fld id="{5A1AF344-3F1C-4467-8B25-79B3394B3D29}" type="PERCENTAGE">
                      <a:rPr lang="en-US" b="0" baseline="0"/>
                      <a:pPr/>
                      <a:t>[PERCENTAGE]</a:t>
                    </a:fld>
                    <a:endParaRPr lang="en-US" baseline="0"/>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9598-4493-83F4-9D1F4C9CFA2E}"/>
                </c:ext>
                <c:ext xmlns:c15="http://schemas.microsoft.com/office/drawing/2012/chart" uri="{CE6537A1-D6FC-4f65-9D91-7224C49458BB}">
                  <c15:dlblFieldTable/>
                  <c15:showDataLabelsRange val="0"/>
                </c:ext>
              </c:extLst>
            </c:dLbl>
            <c:dLbl>
              <c:idx val="5"/>
              <c:layout>
                <c:manualLayout>
                  <c:x val="2.4277470987204106E-2"/>
                  <c:y val="9.1643949911666218E-4"/>
                </c:manualLayout>
              </c:layout>
              <c:tx>
                <c:rich>
                  <a:bodyPr/>
                  <a:lstStyle/>
                  <a:p>
                    <a:fld id="{10A0D7FB-CAB7-4DA8-8E56-A3C4C9CA19BB}" type="CATEGORYNAME">
                      <a:rPr lang="en-US"/>
                      <a:pPr/>
                      <a:t>[CATEGORY NAME]</a:t>
                    </a:fld>
                    <a:r>
                      <a:rPr lang="en-US" baseline="0"/>
                      <a:t>
</a:t>
                    </a:r>
                    <a:fld id="{D20889A8-EF62-4B6B-A410-2F61D90AEF09}" type="PERCENTAGE">
                      <a:rPr lang="en-US" b="0" baseline="0"/>
                      <a:pPr/>
                      <a:t>[PERCENTAGE]</a:t>
                    </a:fld>
                    <a:endParaRPr lang="en-US" baseline="0"/>
                  </a:p>
                </c:rich>
              </c:tx>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9598-4493-83F4-9D1F4C9CFA2E}"/>
                </c:ext>
                <c:ext xmlns:c15="http://schemas.microsoft.com/office/drawing/2012/chart" uri="{CE6537A1-D6FC-4f65-9D91-7224C49458BB}">
                  <c15:dlblFieldTable/>
                  <c15:showDataLabelsRange val="0"/>
                </c:ext>
              </c:extLst>
            </c:dLbl>
            <c:numFmt formatCode="General" sourceLinked="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'[Chart 3 in Microsoft Word]Str-ra VMS'!$A$9:$A$14</c:f>
              <c:strCache>
                <c:ptCount val="6"/>
                <c:pt idx="0">
                  <c:v>91 zile</c:v>
                </c:pt>
                <c:pt idx="1">
                  <c:v>182 zile</c:v>
                </c:pt>
                <c:pt idx="2">
                  <c:v>364 zile</c:v>
                </c:pt>
                <c:pt idx="3">
                  <c:v>2 ani</c:v>
                </c:pt>
                <c:pt idx="4">
                  <c:v> 3 ani</c:v>
                </c:pt>
                <c:pt idx="5">
                  <c:v>5 ani</c:v>
                </c:pt>
              </c:strCache>
            </c:strRef>
          </c:cat>
          <c:val>
            <c:numRef>
              <c:f>'[Chart 3 in Microsoft Word]Str-ra VMS'!$B$9:$B$14</c:f>
              <c:numCache>
                <c:formatCode>0.0</c:formatCode>
                <c:ptCount val="6"/>
                <c:pt idx="0">
                  <c:v>16.874714287744656</c:v>
                </c:pt>
                <c:pt idx="1">
                  <c:v>31.207128525506096</c:v>
                </c:pt>
                <c:pt idx="2">
                  <c:v>40.23795301631165</c:v>
                </c:pt>
                <c:pt idx="3">
                  <c:v>6.0348600181223055</c:v>
                </c:pt>
                <c:pt idx="4">
                  <c:v>4.2686990375452947</c:v>
                </c:pt>
                <c:pt idx="5">
                  <c:v>1.3766451147699967</c:v>
                </c:pt>
              </c:numCache>
            </c:numRef>
          </c:val>
          <c:extLst xmlns:c16r2="http://schemas.microsoft.com/office/drawing/2015/06/chart">
            <c:ext xmlns:c16="http://schemas.microsoft.com/office/drawing/2014/chart" uri="{C3380CC4-5D6E-409C-BE32-E72D297353CC}">
              <c16:uniqueId val="{0000000C-9598-4493-83F4-9D1F4C9CFA2E}"/>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3.4247006931316944E-2"/>
          <c:y val="0.88041562372271032"/>
          <c:w val="0.94410838059231239"/>
          <c:h val="8.526434195725533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Structura pe investitori </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1754021361664264"/>
          <c:y val="0.18992745698454361"/>
          <c:w val="0.5192128040801951"/>
          <c:h val="0.73627260134149886"/>
        </c:manualLayout>
      </c:layout>
      <c:pieChart>
        <c:varyColors val="1"/>
        <c:ser>
          <c:idx val="0"/>
          <c:order val="0"/>
          <c:dPt>
            <c:idx val="0"/>
            <c:bubble3D val="0"/>
            <c:spPr>
              <a:gradFill rotWithShape="1">
                <a:gsLst>
                  <a:gs pos="0">
                    <a:schemeClr val="accent1">
                      <a:tint val="77000"/>
                      <a:shade val="51000"/>
                      <a:satMod val="130000"/>
                    </a:schemeClr>
                  </a:gs>
                  <a:gs pos="80000">
                    <a:schemeClr val="accent1">
                      <a:tint val="77000"/>
                      <a:shade val="93000"/>
                      <a:satMod val="130000"/>
                    </a:schemeClr>
                  </a:gs>
                  <a:gs pos="100000">
                    <a:schemeClr val="accent1">
                      <a:tint val="77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F067-4AB6-9650-153B9B85A93C}"/>
              </c:ext>
            </c:extLst>
          </c:dPt>
          <c:dPt>
            <c:idx val="1"/>
            <c:bubble3D val="0"/>
            <c:explosion val="7"/>
            <c:spPr>
              <a:gradFill rotWithShape="1">
                <a:gsLst>
                  <a:gs pos="0">
                    <a:schemeClr val="accent1">
                      <a:shade val="76000"/>
                      <a:shade val="51000"/>
                      <a:satMod val="130000"/>
                    </a:schemeClr>
                  </a:gs>
                  <a:gs pos="80000">
                    <a:schemeClr val="accent1">
                      <a:shade val="76000"/>
                      <a:shade val="93000"/>
                      <a:satMod val="130000"/>
                    </a:schemeClr>
                  </a:gs>
                  <a:gs pos="100000">
                    <a:schemeClr val="accent1">
                      <a:shade val="76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F067-4AB6-9650-153B9B85A93C}"/>
              </c:ext>
            </c:extLst>
          </c:dPt>
          <c:dLbls>
            <c:dLbl>
              <c:idx val="0"/>
              <c:layout>
                <c:manualLayout>
                  <c:x val="-0.10105476815398083"/>
                  <c:y val="-0.16131687717920901"/>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F067-4AB6-9650-153B9B85A93C}"/>
                </c:ext>
                <c:ext xmlns:c15="http://schemas.microsoft.com/office/drawing/2012/chart" uri="{CE6537A1-D6FC-4f65-9D91-7224C49458BB}">
                  <c15:layout>
                    <c:manualLayout>
                      <c:w val="0.26968153980752407"/>
                      <c:h val="0.20813879203515984"/>
                    </c:manualLayout>
                  </c15:layout>
                </c:ext>
              </c:extLst>
            </c:dLbl>
            <c:dLbl>
              <c:idx val="1"/>
              <c:layout>
                <c:manualLayout>
                  <c:x val="6.2215772516490013E-2"/>
                  <c:y val="8.1714056576261296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F067-4AB6-9650-153B9B85A93C}"/>
                </c:ext>
                <c:ext xmlns:c15="http://schemas.microsoft.com/office/drawing/2012/chart" uri="{CE6537A1-D6FC-4f65-9D91-7224C49458BB}"/>
              </c:extLst>
            </c:dLbl>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'[Chart 3 in Microsoft Word]Str-ra VMS'!$A$20:$A$21</c:f>
              <c:strCache>
                <c:ptCount val="2"/>
                <c:pt idx="0">
                  <c:v>Sectorul bancar</c:v>
                </c:pt>
                <c:pt idx="1">
                  <c:v>Sectorul non-bancar</c:v>
                </c:pt>
              </c:strCache>
            </c:strRef>
          </c:cat>
          <c:val>
            <c:numRef>
              <c:f>'[Chart 3 in Microsoft Word]Str-ra VMS'!$B$20:$B$21</c:f>
              <c:numCache>
                <c:formatCode>General</c:formatCode>
                <c:ptCount val="2"/>
                <c:pt idx="0">
                  <c:v>76.78</c:v>
                </c:pt>
                <c:pt idx="1">
                  <c:v>23.22</c:v>
                </c:pt>
              </c:numCache>
            </c:numRef>
          </c:val>
          <c:extLst xmlns:c16r2="http://schemas.microsoft.com/office/drawing/2015/06/chart">
            <c:ext xmlns:c16="http://schemas.microsoft.com/office/drawing/2014/chart" uri="{C3380CC4-5D6E-409C-BE32-E72D297353CC}">
              <c16:uniqueId val="{00000004-F067-4AB6-9650-153B9B85A93C}"/>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475227135069655E-2"/>
          <c:y val="4.5128205128205132E-2"/>
          <c:w val="0.91796067030082773"/>
          <c:h val="0.7084168786593984"/>
        </c:manualLayout>
      </c:layout>
      <c:barChart>
        <c:barDir val="col"/>
        <c:grouping val="stacked"/>
        <c:varyColors val="0"/>
        <c:ser>
          <c:idx val="0"/>
          <c:order val="0"/>
          <c:tx>
            <c:strRef>
              <c:f>Sheet1!$B$1</c:f>
              <c:strCache>
                <c:ptCount val="1"/>
                <c:pt idx="0">
                  <c:v>Produsele alimentare</c:v>
                </c:pt>
              </c:strCache>
            </c:strRef>
          </c:tx>
          <c:spPr>
            <a:pattFill prst="trellis">
              <a:fgClr>
                <a:srgbClr val="2F5597"/>
              </a:fgClr>
              <a:bgClr>
                <a:srgbClr val="FFFFFF"/>
              </a:bgClr>
            </a:pattFill>
            <a:ln w="9525">
              <a:solidFill>
                <a:srgbClr val="5B9BD5"/>
              </a:solidFill>
            </a:ln>
          </c:spPr>
          <c:invertIfNegative val="0"/>
          <c:cat>
            <c:numRef>
              <c:f>Sheet1!$A$2:$A$6</c:f>
              <c:numCache>
                <c:formatCode>General</c:formatCode>
                <c:ptCount val="5"/>
                <c:pt idx="0">
                  <c:v>2015</c:v>
                </c:pt>
                <c:pt idx="1">
                  <c:v>2016</c:v>
                </c:pt>
                <c:pt idx="2">
                  <c:v>2017</c:v>
                </c:pt>
                <c:pt idx="3">
                  <c:v>2018</c:v>
                </c:pt>
                <c:pt idx="4">
                  <c:v>2019</c:v>
                </c:pt>
              </c:numCache>
            </c:numRef>
          </c:cat>
          <c:val>
            <c:numRef>
              <c:f>Sheet1!$B$2:$B$6</c:f>
              <c:numCache>
                <c:formatCode>General</c:formatCode>
                <c:ptCount val="5"/>
                <c:pt idx="0">
                  <c:v>0.3</c:v>
                </c:pt>
                <c:pt idx="1">
                  <c:v>0.5</c:v>
                </c:pt>
                <c:pt idx="2" formatCode="0.0">
                  <c:v>0.8</c:v>
                </c:pt>
                <c:pt idx="3" formatCode="0.0">
                  <c:v>0.3</c:v>
                </c:pt>
                <c:pt idx="4" formatCode="0.0">
                  <c:v>0.7</c:v>
                </c:pt>
              </c:numCache>
            </c:numRef>
          </c:val>
          <c:extLst xmlns:c16r2="http://schemas.microsoft.com/office/drawing/2015/06/chart">
            <c:ext xmlns:c16="http://schemas.microsoft.com/office/drawing/2014/chart" uri="{C3380CC4-5D6E-409C-BE32-E72D297353CC}">
              <c16:uniqueId val="{00000000-1E03-4937-BE85-B01BFF9EDEB6}"/>
            </c:ext>
          </c:extLst>
        </c:ser>
        <c:ser>
          <c:idx val="1"/>
          <c:order val="1"/>
          <c:tx>
            <c:strRef>
              <c:f>Sheet1!$C$1</c:f>
              <c:strCache>
                <c:ptCount val="1"/>
                <c:pt idx="0">
                  <c:v>Mărfurile nealimentare</c:v>
                </c:pt>
              </c:strCache>
            </c:strRef>
          </c:tx>
          <c:spPr>
            <a:pattFill prst="wdUpDiag">
              <a:fgClr>
                <a:srgbClr val="2F5597"/>
              </a:fgClr>
              <a:bgClr>
                <a:srgbClr val="FFFFFF"/>
              </a:bgClr>
            </a:pattFill>
            <a:ln w="9525">
              <a:solidFill>
                <a:srgbClr val="5B9BD5"/>
              </a:solidFill>
            </a:ln>
          </c:spPr>
          <c:invertIfNegative val="0"/>
          <c:cat>
            <c:numRef>
              <c:f>Sheet1!$A$2:$A$6</c:f>
              <c:numCache>
                <c:formatCode>General</c:formatCode>
                <c:ptCount val="5"/>
                <c:pt idx="0">
                  <c:v>2015</c:v>
                </c:pt>
                <c:pt idx="1">
                  <c:v>2016</c:v>
                </c:pt>
                <c:pt idx="2">
                  <c:v>2017</c:v>
                </c:pt>
                <c:pt idx="3">
                  <c:v>2018</c:v>
                </c:pt>
                <c:pt idx="4">
                  <c:v>2019</c:v>
                </c:pt>
              </c:numCache>
            </c:numRef>
          </c:cat>
          <c:val>
            <c:numRef>
              <c:f>Sheet1!$C$2:$C$6</c:f>
              <c:numCache>
                <c:formatCode>General</c:formatCode>
                <c:ptCount val="5"/>
                <c:pt idx="0">
                  <c:v>0.4</c:v>
                </c:pt>
                <c:pt idx="1">
                  <c:v>0.1</c:v>
                </c:pt>
                <c:pt idx="2" formatCode="0.0">
                  <c:v>0.3</c:v>
                </c:pt>
                <c:pt idx="3" formatCode="0.0">
                  <c:v>0.1</c:v>
                </c:pt>
                <c:pt idx="4">
                  <c:v>0.5</c:v>
                </c:pt>
              </c:numCache>
            </c:numRef>
          </c:val>
          <c:extLst xmlns:c16r2="http://schemas.microsoft.com/office/drawing/2015/06/chart">
            <c:ext xmlns:c16="http://schemas.microsoft.com/office/drawing/2014/chart" uri="{C3380CC4-5D6E-409C-BE32-E72D297353CC}">
              <c16:uniqueId val="{00000001-1E03-4937-BE85-B01BFF9EDEB6}"/>
            </c:ext>
          </c:extLst>
        </c:ser>
        <c:ser>
          <c:idx val="2"/>
          <c:order val="2"/>
          <c:tx>
            <c:strRef>
              <c:f>Sheet1!$D$1</c:f>
              <c:strCache>
                <c:ptCount val="1"/>
                <c:pt idx="0">
                  <c:v>Servicii cu plată prestate  populației</c:v>
                </c:pt>
              </c:strCache>
            </c:strRef>
          </c:tx>
          <c:spPr>
            <a:pattFill prst="weave">
              <a:fgClr>
                <a:srgbClr val="2F5597"/>
              </a:fgClr>
              <a:bgClr>
                <a:srgbClr val="FFFFFF"/>
              </a:bgClr>
            </a:pattFill>
            <a:ln w="9525">
              <a:solidFill>
                <a:srgbClr val="5B9BD5"/>
              </a:solidFill>
            </a:ln>
          </c:spPr>
          <c:invertIfNegative val="0"/>
          <c:cat>
            <c:numRef>
              <c:f>Sheet1!$A$2:$A$6</c:f>
              <c:numCache>
                <c:formatCode>General</c:formatCode>
                <c:ptCount val="5"/>
                <c:pt idx="0">
                  <c:v>2015</c:v>
                </c:pt>
                <c:pt idx="1">
                  <c:v>2016</c:v>
                </c:pt>
                <c:pt idx="2">
                  <c:v>2017</c:v>
                </c:pt>
                <c:pt idx="3">
                  <c:v>2018</c:v>
                </c:pt>
                <c:pt idx="4">
                  <c:v>2019</c:v>
                </c:pt>
              </c:numCache>
            </c:numRef>
          </c:cat>
          <c:val>
            <c:numRef>
              <c:f>Sheet1!$D$2:$D$6</c:f>
              <c:numCache>
                <c:formatCode>0.0</c:formatCode>
                <c:ptCount val="5"/>
                <c:pt idx="0" formatCode="General">
                  <c:v>0.1</c:v>
                </c:pt>
                <c:pt idx="1">
                  <c:v>0.1</c:v>
                </c:pt>
                <c:pt idx="2">
                  <c:v>0.1</c:v>
                </c:pt>
                <c:pt idx="3">
                  <c:v>-0.4</c:v>
                </c:pt>
                <c:pt idx="4" formatCode="General">
                  <c:v>0.1</c:v>
                </c:pt>
              </c:numCache>
            </c:numRef>
          </c:val>
          <c:extLst xmlns:c16r2="http://schemas.microsoft.com/office/drawing/2015/06/chart">
            <c:ext xmlns:c16="http://schemas.microsoft.com/office/drawing/2014/chart" uri="{C3380CC4-5D6E-409C-BE32-E72D297353CC}">
              <c16:uniqueId val="{00000002-1E03-4937-BE85-B01BFF9EDEB6}"/>
            </c:ext>
          </c:extLst>
        </c:ser>
        <c:dLbls>
          <c:showLegendKey val="0"/>
          <c:showVal val="0"/>
          <c:showCatName val="0"/>
          <c:showSerName val="0"/>
          <c:showPercent val="0"/>
          <c:showBubbleSize val="0"/>
        </c:dLbls>
        <c:gapWidth val="150"/>
        <c:overlap val="100"/>
        <c:axId val="585176768"/>
        <c:axId val="585170888"/>
      </c:barChart>
      <c:lineChart>
        <c:grouping val="standard"/>
        <c:varyColors val="0"/>
        <c:ser>
          <c:idx val="3"/>
          <c:order val="3"/>
          <c:tx>
            <c:strRef>
              <c:f>Sheet1!$E$1</c:f>
              <c:strCache>
                <c:ptCount val="1"/>
                <c:pt idx="0">
                  <c:v>Rata inflației</c:v>
                </c:pt>
              </c:strCache>
            </c:strRef>
          </c:tx>
          <c:spPr>
            <a:ln w="28496" cap="rnd">
              <a:solidFill>
                <a:schemeClr val="accent1">
                  <a:lumMod val="50000"/>
                </a:schemeClr>
              </a:solidFill>
              <a:round/>
            </a:ln>
            <a:effectLst/>
          </c:spPr>
          <c:marker>
            <c:symbol val="none"/>
          </c:marker>
          <c:dLbls>
            <c:dLbl>
              <c:idx val="2"/>
              <c:layout>
                <c:manualLayout>
                  <c:x val="-4.0317131275199834E-2"/>
                  <c:y val="-6.891511442425629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564-4CBF-8904-69BC9E847AE7}"/>
                </c:ext>
                <c:ext xmlns:c15="http://schemas.microsoft.com/office/drawing/2012/chart" uri="{CE6537A1-D6FC-4f65-9D91-7224C49458BB}"/>
              </c:extLst>
            </c:dLbl>
            <c:dLbl>
              <c:idx val="3"/>
              <c:layout>
                <c:manualLayout>
                  <c:x val="-3.6526533425223981E-2"/>
                  <c:y val="3.034705407586763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0BC-4269-AE2C-9C7D3CF4777F}"/>
                </c:ext>
                <c:ext xmlns:c15="http://schemas.microsoft.com/office/drawing/2012/chart" uri="{CE6537A1-D6FC-4f65-9D91-7224C49458BB}"/>
              </c:extLst>
            </c:dLbl>
            <c:dLbl>
              <c:idx val="4"/>
              <c:layout>
                <c:manualLayout>
                  <c:x val="-3.2858794098015585E-2"/>
                  <c:y val="-4.493273086626883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564-4CBF-8904-69BC9E847AE7}"/>
                </c:ext>
                <c:ext xmlns:c15="http://schemas.microsoft.com/office/drawing/2012/chart" uri="{CE6537A1-D6FC-4f65-9D91-7224C49458BB}"/>
              </c:extLst>
            </c:dLbl>
            <c:spPr>
              <a:noFill/>
              <a:ln w="25330">
                <a:noFill/>
              </a:ln>
            </c:spPr>
            <c:txPr>
              <a:bodyPr rot="0" spcFirstLastPara="1" vertOverflow="ellipsis" vert="horz" wrap="square" lIns="38100" tIns="19050" rIns="38100" bIns="19050" anchor="ctr" anchorCtr="1">
                <a:spAutoFit/>
              </a:bodyPr>
              <a:lstStyle/>
              <a:p>
                <a:pPr>
                  <a:defRPr sz="898" b="1"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Sheet1!$A$2:$A$6</c:f>
              <c:numCache>
                <c:formatCode>General</c:formatCode>
                <c:ptCount val="5"/>
                <c:pt idx="0">
                  <c:v>2015</c:v>
                </c:pt>
                <c:pt idx="1">
                  <c:v>2016</c:v>
                </c:pt>
                <c:pt idx="2">
                  <c:v>2017</c:v>
                </c:pt>
                <c:pt idx="3">
                  <c:v>2018</c:v>
                </c:pt>
                <c:pt idx="4">
                  <c:v>2019</c:v>
                </c:pt>
              </c:numCache>
            </c:numRef>
          </c:cat>
          <c:val>
            <c:numRef>
              <c:f>Sheet1!$E$2:$E$6</c:f>
              <c:numCache>
                <c:formatCode>General</c:formatCode>
                <c:ptCount val="5"/>
                <c:pt idx="0">
                  <c:v>0.8</c:v>
                </c:pt>
                <c:pt idx="1">
                  <c:v>0.7</c:v>
                </c:pt>
                <c:pt idx="2" formatCode="0.0">
                  <c:v>1.2</c:v>
                </c:pt>
                <c:pt idx="3" formatCode="0.0">
                  <c:v>0</c:v>
                </c:pt>
                <c:pt idx="4" formatCode="0.0">
                  <c:v>1.3</c:v>
                </c:pt>
              </c:numCache>
            </c:numRef>
          </c:val>
          <c:smooth val="0"/>
          <c:extLst xmlns:c16r2="http://schemas.microsoft.com/office/drawing/2015/06/chart">
            <c:ext xmlns:c16="http://schemas.microsoft.com/office/drawing/2014/chart" uri="{C3380CC4-5D6E-409C-BE32-E72D297353CC}">
              <c16:uniqueId val="{00000004-1E03-4937-BE85-B01BFF9EDEB6}"/>
            </c:ext>
          </c:extLst>
        </c:ser>
        <c:dLbls>
          <c:showLegendKey val="0"/>
          <c:showVal val="0"/>
          <c:showCatName val="0"/>
          <c:showSerName val="0"/>
          <c:showPercent val="0"/>
          <c:showBubbleSize val="0"/>
        </c:dLbls>
        <c:marker val="1"/>
        <c:smooth val="0"/>
        <c:axId val="585176768"/>
        <c:axId val="585170888"/>
      </c:lineChart>
      <c:catAx>
        <c:axId val="585176768"/>
        <c:scaling>
          <c:orientation val="minMax"/>
        </c:scaling>
        <c:delete val="0"/>
        <c:axPos val="b"/>
        <c:numFmt formatCode="General" sourceLinked="1"/>
        <c:majorTickMark val="none"/>
        <c:minorTickMark val="none"/>
        <c:tickLblPos val="low"/>
        <c:spPr>
          <a:noFill/>
          <a:ln w="9499"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solidFill>
                <a:latin typeface="+mn-lt"/>
                <a:ea typeface="+mn-ea"/>
                <a:cs typeface="+mn-cs"/>
              </a:defRPr>
            </a:pPr>
            <a:endParaRPr lang="en-US"/>
          </a:p>
        </c:txPr>
        <c:crossAx val="585170888"/>
        <c:crosses val="autoZero"/>
        <c:auto val="1"/>
        <c:lblAlgn val="ctr"/>
        <c:lblOffset val="100"/>
        <c:noMultiLvlLbl val="0"/>
      </c:catAx>
      <c:valAx>
        <c:axId val="585170888"/>
        <c:scaling>
          <c:orientation val="minMax"/>
          <c:max val="1.5"/>
          <c:min val="-0.5"/>
        </c:scaling>
        <c:delete val="0"/>
        <c:axPos val="l"/>
        <c:majorGridlines>
          <c:spPr>
            <a:ln w="9499" cap="flat" cmpd="sng" algn="ctr">
              <a:solidFill>
                <a:schemeClr val="tx1">
                  <a:lumMod val="15000"/>
                  <a:lumOff val="85000"/>
                </a:schemeClr>
              </a:solidFill>
              <a:round/>
            </a:ln>
            <a:effectLst/>
          </c:spPr>
        </c:majorGridlines>
        <c:numFmt formatCode="General" sourceLinked="1"/>
        <c:majorTickMark val="none"/>
        <c:minorTickMark val="none"/>
        <c:tickLblPos val="low"/>
        <c:spPr>
          <a:ln w="6332">
            <a:noFill/>
          </a:ln>
        </c:spPr>
        <c:txPr>
          <a:bodyPr rot="-60000000" spcFirstLastPara="1" vertOverflow="ellipsis" vert="horz" wrap="square" anchor="ctr" anchorCtr="1"/>
          <a:lstStyle/>
          <a:p>
            <a:pPr>
              <a:defRPr sz="898" b="0" i="0" u="none" strike="noStrike" kern="1200" baseline="0">
                <a:solidFill>
                  <a:schemeClr val="tx1"/>
                </a:solidFill>
                <a:latin typeface="+mn-lt"/>
                <a:ea typeface="+mn-ea"/>
                <a:cs typeface="+mn-cs"/>
              </a:defRPr>
            </a:pPr>
            <a:endParaRPr lang="en-US"/>
          </a:p>
        </c:txPr>
        <c:crossAx val="585176768"/>
        <c:crosses val="autoZero"/>
        <c:crossBetween val="between"/>
      </c:valAx>
      <c:spPr>
        <a:noFill/>
        <a:ln w="25330">
          <a:noFill/>
        </a:ln>
      </c:spPr>
    </c:plotArea>
    <c:legend>
      <c:legendPos val="b"/>
      <c:layout>
        <c:manualLayout>
          <c:xMode val="edge"/>
          <c:yMode val="edge"/>
          <c:x val="7.9380378085650682E-2"/>
          <c:y val="0.84821338415500613"/>
          <c:w val="0.87826107179640522"/>
          <c:h val="0.12797699650601002"/>
        </c:manualLayout>
      </c:layout>
      <c:overlay val="0"/>
      <c:spPr>
        <a:noFill/>
        <a:ln w="25330">
          <a:noFill/>
        </a:ln>
      </c:spPr>
      <c:txPr>
        <a:bodyPr rot="0" spcFirstLastPara="1" vertOverflow="ellipsis" vert="horz" wrap="square" anchor="ctr" anchorCtr="1"/>
        <a:lstStyle/>
        <a:p>
          <a:pPr>
            <a:defRPr sz="898"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499" cap="flat" cmpd="sng" algn="ctr">
      <a:noFill/>
      <a:round/>
    </a:ln>
    <a:effectLst/>
  </c:spPr>
  <c:txPr>
    <a:bodyPr/>
    <a:lstStyle/>
    <a:p>
      <a:pPr>
        <a:defRPr/>
      </a:pPr>
      <a:endParaRPr lang="en-US"/>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'[Chart 3 in Microsoft Word]Sheet3 (2)'!$B$4</c:f>
              <c:strCache>
                <c:ptCount val="1"/>
                <c:pt idx="0">
                  <c:v>VMS</c:v>
                </c:pt>
              </c:strCache>
            </c:strRef>
          </c:tx>
          <c:spPr>
            <a:ln w="22225" cap="rnd" cmpd="sng" algn="ctr">
              <a:solidFill>
                <a:schemeClr val="accent1"/>
              </a:solidFill>
              <a:prstDash val="sysDash"/>
              <a:round/>
            </a:ln>
            <a:effectLst/>
          </c:spPr>
          <c:marker>
            <c:symbol val="none"/>
          </c:marker>
          <c:dLbls>
            <c:dLbl>
              <c:idx val="0"/>
              <c:layout>
                <c:manualLayout>
                  <c:x val="-4.8046831620862707E-2"/>
                  <c:y val="2.737284528623099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515-4AF8-BF57-7258EB773992}"/>
                </c:ext>
                <c:ext xmlns:c15="http://schemas.microsoft.com/office/drawing/2012/chart" uri="{CE6537A1-D6FC-4f65-9D91-7224C49458BB}"/>
              </c:extLst>
            </c:dLbl>
            <c:dLbl>
              <c:idx val="1"/>
              <c:layout>
                <c:manualLayout>
                  <c:x val="-5.2524109435951129E-2"/>
                  <c:y val="-2.088970297631720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515-4AF8-BF57-7258EB773992}"/>
                </c:ext>
                <c:ext xmlns:c15="http://schemas.microsoft.com/office/drawing/2012/chart" uri="{CE6537A1-D6FC-4f65-9D91-7224C49458BB}"/>
              </c:extLst>
            </c:dLbl>
            <c:dLbl>
              <c:idx val="2"/>
              <c:layout>
                <c:manualLayout>
                  <c:x val="-3.9092275990685849E-2"/>
                  <c:y val="-1.76721997588139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515-4AF8-BF57-7258EB773992}"/>
                </c:ext>
                <c:ext xmlns:c15="http://schemas.microsoft.com/office/drawing/2012/chart" uri="{CE6537A1-D6FC-4f65-9D91-7224C49458BB}"/>
              </c:extLst>
            </c:dLbl>
            <c:dLbl>
              <c:idx val="3"/>
              <c:layout>
                <c:manualLayout>
                  <c:x val="-3.6853637083141683E-2"/>
                  <c:y val="1.772033563372140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515-4AF8-BF57-7258EB773992}"/>
                </c:ext>
                <c:ext xmlns:c15="http://schemas.microsoft.com/office/drawing/2012/chart" uri="{CE6537A1-D6FC-4f65-9D91-7224C49458BB}"/>
              </c:extLst>
            </c:dLbl>
            <c:dLbl>
              <c:idx val="4"/>
              <c:layout>
                <c:manualLayout>
                  <c:x val="-4.8130736512200623E-2"/>
                  <c:y val="-2.410720619382042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515-4AF8-BF57-7258EB773992}"/>
                </c:ext>
                <c:ext xmlns:c15="http://schemas.microsoft.com/office/drawing/2012/chart" uri="{CE6537A1-D6FC-4f65-9D91-7224C49458BB}"/>
              </c:extLst>
            </c:dLbl>
            <c:dLbl>
              <c:idx val="5"/>
              <c:layout>
                <c:manualLayout>
                  <c:x val="-3.9176180882023771E-2"/>
                  <c:y val="-2.088970297631714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515-4AF8-BF57-7258EB773992}"/>
                </c:ext>
                <c:ext xmlns:c15="http://schemas.microsoft.com/office/drawing/2012/chart" uri="{CE6537A1-D6FC-4f65-9D91-7224C49458BB}"/>
              </c:extLst>
            </c:dLbl>
            <c:dLbl>
              <c:idx val="6"/>
              <c:layout>
                <c:manualLayout>
                  <c:x val="-3.917618088202373E-2"/>
                  <c:y val="-1.767219975881393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515-4AF8-BF57-7258EB773992}"/>
                </c:ext>
                <c:ext xmlns:c15="http://schemas.microsoft.com/office/drawing/2012/chart" uri="{CE6537A1-D6FC-4f65-9D91-7224C49458BB}"/>
              </c:extLst>
            </c:dLbl>
            <c:dLbl>
              <c:idx val="9"/>
              <c:layout>
                <c:manualLayout>
                  <c:x val="-3.6937541974479515E-2"/>
                  <c:y val="-2.410720619382042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515-4AF8-BF57-7258EB773992}"/>
                </c:ext>
                <c:ext xmlns:c15="http://schemas.microsoft.com/office/drawing/2012/chart" uri="{CE6537A1-D6FC-4f65-9D91-7224C49458BB}"/>
              </c:extLst>
            </c:dLbl>
            <c:dLbl>
              <c:idx val="10"/>
              <c:layout>
                <c:manualLayout>
                  <c:x val="-3.6937541974479599E-2"/>
                  <c:y val="-1.767219975881393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3515-4AF8-BF57-7258EB773992}"/>
                </c:ext>
                <c:ext xmlns:c15="http://schemas.microsoft.com/office/drawing/2012/chart" uri="{CE6537A1-D6FC-4f65-9D91-7224C49458BB}"/>
              </c:extLst>
            </c:dLbl>
            <c:dLbl>
              <c:idx val="11"/>
              <c:layout>
                <c:manualLayout>
                  <c:x val="-3.6937541974479515E-2"/>
                  <c:y val="-1.76721997588139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515-4AF8-BF57-7258EB773992}"/>
                </c:ext>
                <c:ext xmlns:c15="http://schemas.microsoft.com/office/drawing/2012/chart" uri="{CE6537A1-D6FC-4f65-9D91-7224C49458BB}"/>
              </c:extLst>
            </c:dLbl>
            <c:dLbl>
              <c:idx val="12"/>
              <c:layout>
                <c:manualLayout>
                  <c:x val="-3.4698903066935384E-2"/>
                  <c:y val="-2.088970297631714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3515-4AF8-BF57-7258EB773992}"/>
                </c:ext>
                <c:ext xmlns:c15="http://schemas.microsoft.com/office/drawing/2012/chart" uri="{CE6537A1-D6FC-4f65-9D91-7224C49458BB}"/>
              </c:extLst>
            </c:dLbl>
            <c:dLbl>
              <c:idx val="13"/>
              <c:layout>
                <c:manualLayout>
                  <c:x val="-3.4698903066935301E-2"/>
                  <c:y val="-2.732470941132370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3515-4AF8-BF57-7258EB773992}"/>
                </c:ext>
                <c:ext xmlns:c15="http://schemas.microsoft.com/office/drawing/2012/chart" uri="{CE6537A1-D6FC-4f65-9D91-7224C49458BB}"/>
              </c:extLst>
            </c:dLbl>
            <c:dLbl>
              <c:idx val="14"/>
              <c:layout>
                <c:manualLayout>
                  <c:x val="-3.6937541974479515E-2"/>
                  <c:y val="-3.054221262882680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3515-4AF8-BF57-7258EB773992}"/>
                </c:ext>
                <c:ext xmlns:c15="http://schemas.microsoft.com/office/drawing/2012/chart" uri="{CE6537A1-D6FC-4f65-9D91-7224C49458BB}"/>
              </c:extLst>
            </c:dLbl>
            <c:dLbl>
              <c:idx val="15"/>
              <c:layout>
                <c:manualLayout>
                  <c:x val="-3.4698903066935301E-2"/>
                  <c:y val="-2.732470941132358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3515-4AF8-BF57-7258EB773992}"/>
                </c:ext>
                <c:ext xmlns:c15="http://schemas.microsoft.com/office/drawing/2012/chart" uri="{CE6537A1-D6FC-4f65-9D91-7224C49458BB}"/>
              </c:extLst>
            </c:dLbl>
            <c:dLbl>
              <c:idx val="16"/>
              <c:layout>
                <c:manualLayout>
                  <c:x val="-3.917618088202373E-2"/>
                  <c:y val="-2.732470941132358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3515-4AF8-BF57-7258EB773992}"/>
                </c:ext>
                <c:ext xmlns:c15="http://schemas.microsoft.com/office/drawing/2012/chart" uri="{CE6537A1-D6FC-4f65-9D91-7224C49458BB}"/>
              </c:extLst>
            </c:dLbl>
            <c:dLbl>
              <c:idx val="17"/>
              <c:layout>
                <c:manualLayout>
                  <c:x val="-2.5603154541881057E-2"/>
                  <c:y val="-2.732470941132370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3515-4AF8-BF57-7258EB773992}"/>
                </c:ext>
                <c:ext xmlns:c15="http://schemas.microsoft.com/office/drawing/2012/chart" uri="{CE6537A1-D6FC-4f65-9D91-7224C49458BB}"/>
              </c:extLst>
            </c:dLbl>
            <c:dLbl>
              <c:idx val="20"/>
              <c:layout>
                <c:manualLayout>
                  <c:x val="-1.9685744453199389E-2"/>
                  <c:y val="-2.088970297631714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3515-4AF8-BF57-7258EB773992}"/>
                </c:ext>
                <c:ext xmlns:c15="http://schemas.microsoft.com/office/drawing/2012/chart" uri="{CE6537A1-D6FC-4f65-9D91-7224C49458BB}"/>
              </c:extLst>
            </c:dLbl>
            <c:dLbl>
              <c:idx val="21"/>
              <c:layout>
                <c:manualLayout>
                  <c:x val="-2.1267069621670024E-2"/>
                  <c:y val="-3.375971584633002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3515-4AF8-BF57-7258EB773992}"/>
                </c:ext>
                <c:ext xmlns:c15="http://schemas.microsoft.com/office/drawing/2012/chart" uri="{CE6537A1-D6FC-4f65-9D91-7224C49458BB}"/>
              </c:extLst>
            </c:dLbl>
            <c:dLbl>
              <c:idx val="23"/>
              <c:layout>
                <c:manualLayout>
                  <c:x val="-3.4854197624222587E-2"/>
                  <c:y val="-1.445469654131071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3515-4AF8-BF57-7258EB773992}"/>
                </c:ext>
                <c:ext xmlns:c15="http://schemas.microsoft.com/office/drawing/2012/chart" uri="{CE6537A1-D6FC-4f65-9D91-7224C49458BB}"/>
              </c:extLst>
            </c:dLbl>
            <c:dLbl>
              <c:idx val="24"/>
              <c:layout>
                <c:manualLayout>
                  <c:x val="-1.393914075045522E-2"/>
                  <c:y val="-2.088970297631720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3515-4AF8-BF57-7258EB77399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'[Chart 3 in Microsoft Word]Sheet3 (2)'!$A$5:$A$41</c:f>
              <c:strCache>
                <c:ptCount val="25"/>
                <c:pt idx="0">
                  <c:v>I  2017</c:v>
                </c:pt>
                <c:pt idx="1">
                  <c:v>II</c:v>
                </c:pt>
                <c:pt idx="2">
                  <c:v>III</c:v>
                </c:pt>
                <c:pt idx="3">
                  <c:v>IV</c:v>
                </c:pt>
                <c:pt idx="4">
                  <c:v>V</c:v>
                </c:pt>
                <c:pt idx="5">
                  <c:v>VI</c:v>
                </c:pt>
                <c:pt idx="6">
                  <c:v>VII</c:v>
                </c:pt>
                <c:pt idx="7">
                  <c:v>VIII</c:v>
                </c:pt>
                <c:pt idx="8">
                  <c:v>IX</c:v>
                </c:pt>
                <c:pt idx="9">
                  <c:v>X</c:v>
                </c:pt>
                <c:pt idx="10">
                  <c:v>XI</c:v>
                </c:pt>
                <c:pt idx="11">
                  <c:v>XII  2017</c:v>
                </c:pt>
                <c:pt idx="12">
                  <c:v>I 2018</c:v>
                </c:pt>
                <c:pt idx="13">
                  <c:v>II</c:v>
                </c:pt>
                <c:pt idx="14">
                  <c:v>III</c:v>
                </c:pt>
                <c:pt idx="15">
                  <c:v>IV</c:v>
                </c:pt>
                <c:pt idx="16">
                  <c:v>V</c:v>
                </c:pt>
                <c:pt idx="17">
                  <c:v>VI</c:v>
                </c:pt>
                <c:pt idx="18">
                  <c:v>VII</c:v>
                </c:pt>
                <c:pt idx="19">
                  <c:v>VIII</c:v>
                </c:pt>
                <c:pt idx="20">
                  <c:v>IX</c:v>
                </c:pt>
                <c:pt idx="21">
                  <c:v>X</c:v>
                </c:pt>
                <c:pt idx="22">
                  <c:v>XI</c:v>
                </c:pt>
                <c:pt idx="23">
                  <c:v>XII 2018</c:v>
                </c:pt>
                <c:pt idx="24">
                  <c:v>I 2019</c:v>
                </c:pt>
              </c:strCache>
            </c:strRef>
          </c:cat>
          <c:val>
            <c:numRef>
              <c:f>'[Chart 3 in Microsoft Word]Sheet3 (2)'!$B$5:$B$41</c:f>
              <c:numCache>
                <c:formatCode>0.00</c:formatCode>
                <c:ptCount val="25"/>
                <c:pt idx="0">
                  <c:v>5.7</c:v>
                </c:pt>
                <c:pt idx="1">
                  <c:v>5.91</c:v>
                </c:pt>
                <c:pt idx="2">
                  <c:v>7.04</c:v>
                </c:pt>
                <c:pt idx="3">
                  <c:v>6.56</c:v>
                </c:pt>
                <c:pt idx="4">
                  <c:v>7.84</c:v>
                </c:pt>
                <c:pt idx="5">
                  <c:v>7.95</c:v>
                </c:pt>
                <c:pt idx="6">
                  <c:v>7.57</c:v>
                </c:pt>
                <c:pt idx="7">
                  <c:v>6.74</c:v>
                </c:pt>
                <c:pt idx="8">
                  <c:v>6.42</c:v>
                </c:pt>
                <c:pt idx="9">
                  <c:v>6.39</c:v>
                </c:pt>
                <c:pt idx="10">
                  <c:v>6.3</c:v>
                </c:pt>
                <c:pt idx="11">
                  <c:v>6.02</c:v>
                </c:pt>
                <c:pt idx="12">
                  <c:v>5.72</c:v>
                </c:pt>
                <c:pt idx="13">
                  <c:v>5.26</c:v>
                </c:pt>
                <c:pt idx="14">
                  <c:v>4.78</c:v>
                </c:pt>
                <c:pt idx="15">
                  <c:v>4.47</c:v>
                </c:pt>
                <c:pt idx="16">
                  <c:v>4.47</c:v>
                </c:pt>
                <c:pt idx="17">
                  <c:v>4.62</c:v>
                </c:pt>
                <c:pt idx="18">
                  <c:v>4.6100000000000003</c:v>
                </c:pt>
                <c:pt idx="19">
                  <c:v>4.54</c:v>
                </c:pt>
                <c:pt idx="20">
                  <c:v>4.9400000000000004</c:v>
                </c:pt>
                <c:pt idx="21" formatCode="General">
                  <c:v>4.93</c:v>
                </c:pt>
                <c:pt idx="22" formatCode="General">
                  <c:v>5.22</c:v>
                </c:pt>
                <c:pt idx="23" formatCode="General">
                  <c:v>5.98</c:v>
                </c:pt>
                <c:pt idx="24" formatCode="General">
                  <c:v>6.13</c:v>
                </c:pt>
              </c:numCache>
            </c:numRef>
          </c:val>
          <c:smooth val="0"/>
          <c:extLst xmlns:c16r2="http://schemas.microsoft.com/office/drawing/2015/06/chart">
            <c:ext xmlns:c16="http://schemas.microsoft.com/office/drawing/2014/chart" uri="{C3380CC4-5D6E-409C-BE32-E72D297353CC}">
              <c16:uniqueId val="{00000014-3515-4AF8-BF57-7258EB773992}"/>
            </c:ext>
          </c:extLst>
        </c:ser>
        <c:ser>
          <c:idx val="1"/>
          <c:order val="1"/>
          <c:tx>
            <c:strRef>
              <c:f>'[Chart 3 in Microsoft Word]Sheet3 (2)'!$C$4</c:f>
              <c:strCache>
                <c:ptCount val="1"/>
                <c:pt idx="0">
                  <c:v>Depozite în monedă națională</c:v>
                </c:pt>
              </c:strCache>
            </c:strRef>
          </c:tx>
          <c:spPr>
            <a:ln w="22225" cap="rnd" cmpd="sng" algn="ctr">
              <a:solidFill>
                <a:schemeClr val="accent2"/>
              </a:solidFill>
              <a:round/>
            </a:ln>
            <a:effectLst/>
          </c:spPr>
          <c:marker>
            <c:symbol val="none"/>
          </c:marker>
          <c:dLbls>
            <c:dLbl>
              <c:idx val="0"/>
              <c:layout>
                <c:manualLayout>
                  <c:x val="-6.147866506612798E-2"/>
                  <c:y val="-4.8503227637086491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3515-4AF8-BF57-7258EB773992}"/>
                </c:ext>
                <c:ext xmlns:c15="http://schemas.microsoft.com/office/drawing/2012/chart" uri="{CE6537A1-D6FC-4f65-9D91-7224C49458BB}"/>
              </c:extLst>
            </c:dLbl>
            <c:dLbl>
              <c:idx val="1"/>
              <c:layout>
                <c:manualLayout>
                  <c:x val="-4.3569553805774278E-2"/>
                  <c:y val="-1.77203356337214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3515-4AF8-BF57-7258EB773992}"/>
                </c:ext>
                <c:ext xmlns:c15="http://schemas.microsoft.com/office/drawing/2012/chart" uri="{CE6537A1-D6FC-4f65-9D91-7224C49458BB}"/>
              </c:extLst>
            </c:dLbl>
            <c:dLbl>
              <c:idx val="19"/>
              <c:layout>
                <c:manualLayout>
                  <c:x val="-3.6853637083141641E-2"/>
                  <c:y val="2.732470941132358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3515-4AF8-BF57-7258EB773992}"/>
                </c:ext>
                <c:ext xmlns:c15="http://schemas.microsoft.com/office/drawing/2012/chart" uri="{CE6537A1-D6FC-4f65-9D91-7224C49458BB}"/>
              </c:extLst>
            </c:dLbl>
            <c:dLbl>
              <c:idx val="20"/>
              <c:layout>
                <c:manualLayout>
                  <c:x val="-2.8724381245494077E-2"/>
                  <c:y val="2.732470941132358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3515-4AF8-BF57-7258EB773992}"/>
                </c:ext>
                <c:ext xmlns:c15="http://schemas.microsoft.com/office/drawing/2012/chart" uri="{CE6537A1-D6FC-4f65-9D91-7224C49458BB}"/>
              </c:extLst>
            </c:dLbl>
            <c:dLbl>
              <c:idx val="21"/>
              <c:layout>
                <c:manualLayout>
                  <c:x val="-3.6853637083141641E-2"/>
                  <c:y val="1.767219975881393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3515-4AF8-BF57-7258EB773992}"/>
                </c:ext>
                <c:ext xmlns:c15="http://schemas.microsoft.com/office/drawing/2012/chart" uri="{CE6537A1-D6FC-4f65-9D91-7224C49458BB}"/>
              </c:extLst>
            </c:dLbl>
            <c:dLbl>
              <c:idx val="22"/>
              <c:layout>
                <c:manualLayout>
                  <c:x val="-3.129511430278737E-2"/>
                  <c:y val="3.054221262882680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3515-4AF8-BF57-7258EB773992}"/>
                </c:ext>
                <c:ext xmlns:c15="http://schemas.microsoft.com/office/drawing/2012/chart" uri="{CE6537A1-D6FC-4f65-9D91-7224C49458BB}"/>
              </c:extLst>
            </c:dLbl>
            <c:dLbl>
              <c:idx val="23"/>
              <c:layout>
                <c:manualLayout>
                  <c:x val="-3.1749540373940996E-2"/>
                  <c:y val="2.088970297631714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3515-4AF8-BF57-7258EB773992}"/>
                </c:ext>
                <c:ext xmlns:c15="http://schemas.microsoft.com/office/drawing/2012/chart" uri="{CE6537A1-D6FC-4f65-9D91-7224C49458BB}"/>
              </c:extLst>
            </c:dLbl>
            <c:dLbl>
              <c:idx val="24"/>
              <c:layout>
                <c:manualLayout>
                  <c:x val="-1.1784583005029005E-2"/>
                  <c:y val="1.767219975881393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3515-4AF8-BF57-7258EB77399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'[Chart 3 in Microsoft Word]Sheet3 (2)'!$A$5:$A$41</c:f>
              <c:strCache>
                <c:ptCount val="25"/>
                <c:pt idx="0">
                  <c:v>I  2017</c:v>
                </c:pt>
                <c:pt idx="1">
                  <c:v>II</c:v>
                </c:pt>
                <c:pt idx="2">
                  <c:v>III</c:v>
                </c:pt>
                <c:pt idx="3">
                  <c:v>IV</c:v>
                </c:pt>
                <c:pt idx="4">
                  <c:v>V</c:v>
                </c:pt>
                <c:pt idx="5">
                  <c:v>VI</c:v>
                </c:pt>
                <c:pt idx="6">
                  <c:v>VII</c:v>
                </c:pt>
                <c:pt idx="7">
                  <c:v>VIII</c:v>
                </c:pt>
                <c:pt idx="8">
                  <c:v>IX</c:v>
                </c:pt>
                <c:pt idx="9">
                  <c:v>X</c:v>
                </c:pt>
                <c:pt idx="10">
                  <c:v>XI</c:v>
                </c:pt>
                <c:pt idx="11">
                  <c:v>XII  2017</c:v>
                </c:pt>
                <c:pt idx="12">
                  <c:v>I 2018</c:v>
                </c:pt>
                <c:pt idx="13">
                  <c:v>II</c:v>
                </c:pt>
                <c:pt idx="14">
                  <c:v>III</c:v>
                </c:pt>
                <c:pt idx="15">
                  <c:v>IV</c:v>
                </c:pt>
                <c:pt idx="16">
                  <c:v>V</c:v>
                </c:pt>
                <c:pt idx="17">
                  <c:v>VI</c:v>
                </c:pt>
                <c:pt idx="18">
                  <c:v>VII</c:v>
                </c:pt>
                <c:pt idx="19">
                  <c:v>VIII</c:v>
                </c:pt>
                <c:pt idx="20">
                  <c:v>IX</c:v>
                </c:pt>
                <c:pt idx="21">
                  <c:v>X</c:v>
                </c:pt>
                <c:pt idx="22">
                  <c:v>XI</c:v>
                </c:pt>
                <c:pt idx="23">
                  <c:v>XII 2018</c:v>
                </c:pt>
                <c:pt idx="24">
                  <c:v>I 2019</c:v>
                </c:pt>
              </c:strCache>
            </c:strRef>
          </c:cat>
          <c:val>
            <c:numRef>
              <c:f>'[Chart 3 in Microsoft Word]Sheet3 (2)'!$C$5:$C$41</c:f>
              <c:numCache>
                <c:formatCode>0.00</c:formatCode>
                <c:ptCount val="25"/>
                <c:pt idx="0">
                  <c:v>6.8</c:v>
                </c:pt>
                <c:pt idx="1">
                  <c:v>6.68</c:v>
                </c:pt>
                <c:pt idx="2">
                  <c:v>6.12</c:v>
                </c:pt>
                <c:pt idx="3">
                  <c:v>5.35</c:v>
                </c:pt>
                <c:pt idx="4">
                  <c:v>5.33</c:v>
                </c:pt>
                <c:pt idx="5">
                  <c:v>5.67</c:v>
                </c:pt>
                <c:pt idx="6">
                  <c:v>5.24</c:v>
                </c:pt>
                <c:pt idx="7">
                  <c:v>5.78</c:v>
                </c:pt>
                <c:pt idx="8">
                  <c:v>5.8197874603248048</c:v>
                </c:pt>
                <c:pt idx="9">
                  <c:v>5.7211793575747638</c:v>
                </c:pt>
                <c:pt idx="10">
                  <c:v>5.57</c:v>
                </c:pt>
                <c:pt idx="11">
                  <c:v>5.19</c:v>
                </c:pt>
                <c:pt idx="12">
                  <c:v>5.17</c:v>
                </c:pt>
                <c:pt idx="13">
                  <c:v>4.5363033242583963</c:v>
                </c:pt>
                <c:pt idx="14">
                  <c:v>4.6649204453419006</c:v>
                </c:pt>
                <c:pt idx="15">
                  <c:v>4.4722629968208807</c:v>
                </c:pt>
                <c:pt idx="16">
                  <c:v>4.1984590290536881</c:v>
                </c:pt>
                <c:pt idx="17">
                  <c:v>4.58</c:v>
                </c:pt>
                <c:pt idx="18">
                  <c:v>4.4400000000000004</c:v>
                </c:pt>
                <c:pt idx="19">
                  <c:v>4.1900000000000004</c:v>
                </c:pt>
                <c:pt idx="20">
                  <c:v>4.51</c:v>
                </c:pt>
                <c:pt idx="21" formatCode="General">
                  <c:v>4.59</c:v>
                </c:pt>
                <c:pt idx="22" formatCode="General">
                  <c:v>4.45</c:v>
                </c:pt>
                <c:pt idx="23" formatCode="General">
                  <c:v>4.0999999999999996</c:v>
                </c:pt>
                <c:pt idx="24" formatCode="General">
                  <c:v>4.43</c:v>
                </c:pt>
              </c:numCache>
            </c:numRef>
          </c:val>
          <c:smooth val="0"/>
          <c:extLst xmlns:c16r2="http://schemas.microsoft.com/office/drawing/2015/06/chart">
            <c:ext xmlns:c16="http://schemas.microsoft.com/office/drawing/2014/chart" uri="{C3380CC4-5D6E-409C-BE32-E72D297353CC}">
              <c16:uniqueId val="{0000001D-3515-4AF8-BF57-7258EB773992}"/>
            </c:ext>
          </c:extLst>
        </c:ser>
        <c:ser>
          <c:idx val="2"/>
          <c:order val="2"/>
          <c:tx>
            <c:strRef>
              <c:f>'[Chart 3 in Microsoft Word]Sheet3 (2)'!$D$4</c:f>
              <c:strCache>
                <c:ptCount val="1"/>
                <c:pt idx="0">
                  <c:v>Rata de bază</c:v>
                </c:pt>
              </c:strCache>
            </c:strRef>
          </c:tx>
          <c:spPr>
            <a:ln w="22225" cap="rnd" cmpd="sng" algn="ctr">
              <a:solidFill>
                <a:schemeClr val="accent3"/>
              </a:solidFill>
              <a:round/>
            </a:ln>
            <a:effectLst/>
          </c:spPr>
          <c:marker>
            <c:symbol val="none"/>
          </c:marker>
          <c:dLbls>
            <c:dLbl>
              <c:idx val="8"/>
              <c:layout>
                <c:manualLayout>
                  <c:x val="-3.6853637083141641E-2"/>
                  <c:y val="-2.088970297631720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3515-4AF8-BF57-7258EB773992}"/>
                </c:ext>
                <c:ext xmlns:c15="http://schemas.microsoft.com/office/drawing/2012/chart" uri="{CE6537A1-D6FC-4f65-9D91-7224C49458BB}"/>
              </c:extLst>
            </c:dLbl>
            <c:dLbl>
              <c:idx val="10"/>
              <c:layout>
                <c:manualLayout>
                  <c:x val="-3.6853637083141641E-2"/>
                  <c:y val="-2.410720619382042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3515-4AF8-BF57-7258EB77399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'[Chart 3 in Microsoft Word]Sheet3 (2)'!$A$5:$A$41</c:f>
              <c:strCache>
                <c:ptCount val="25"/>
                <c:pt idx="0">
                  <c:v>I  2017</c:v>
                </c:pt>
                <c:pt idx="1">
                  <c:v>II</c:v>
                </c:pt>
                <c:pt idx="2">
                  <c:v>III</c:v>
                </c:pt>
                <c:pt idx="3">
                  <c:v>IV</c:v>
                </c:pt>
                <c:pt idx="4">
                  <c:v>V</c:v>
                </c:pt>
                <c:pt idx="5">
                  <c:v>VI</c:v>
                </c:pt>
                <c:pt idx="6">
                  <c:v>VII</c:v>
                </c:pt>
                <c:pt idx="7">
                  <c:v>VIII</c:v>
                </c:pt>
                <c:pt idx="8">
                  <c:v>IX</c:v>
                </c:pt>
                <c:pt idx="9">
                  <c:v>X</c:v>
                </c:pt>
                <c:pt idx="10">
                  <c:v>XI</c:v>
                </c:pt>
                <c:pt idx="11">
                  <c:v>XII  2017</c:v>
                </c:pt>
                <c:pt idx="12">
                  <c:v>I 2018</c:v>
                </c:pt>
                <c:pt idx="13">
                  <c:v>II</c:v>
                </c:pt>
                <c:pt idx="14">
                  <c:v>III</c:v>
                </c:pt>
                <c:pt idx="15">
                  <c:v>IV</c:v>
                </c:pt>
                <c:pt idx="16">
                  <c:v>V</c:v>
                </c:pt>
                <c:pt idx="17">
                  <c:v>VI</c:v>
                </c:pt>
                <c:pt idx="18">
                  <c:v>VII</c:v>
                </c:pt>
                <c:pt idx="19">
                  <c:v>VIII</c:v>
                </c:pt>
                <c:pt idx="20">
                  <c:v>IX</c:v>
                </c:pt>
                <c:pt idx="21">
                  <c:v>X</c:v>
                </c:pt>
                <c:pt idx="22">
                  <c:v>XI</c:v>
                </c:pt>
                <c:pt idx="23">
                  <c:v>XII 2018</c:v>
                </c:pt>
                <c:pt idx="24">
                  <c:v>I 2019</c:v>
                </c:pt>
              </c:strCache>
            </c:strRef>
          </c:cat>
          <c:val>
            <c:numRef>
              <c:f>'[Chart 3 in Microsoft Word]Sheet3 (2)'!$D$5:$D$41</c:f>
              <c:numCache>
                <c:formatCode>0.0</c:formatCode>
                <c:ptCount val="25"/>
                <c:pt idx="0">
                  <c:v>9</c:v>
                </c:pt>
                <c:pt idx="1">
                  <c:v>9</c:v>
                </c:pt>
                <c:pt idx="2">
                  <c:v>9</c:v>
                </c:pt>
                <c:pt idx="3">
                  <c:v>9</c:v>
                </c:pt>
                <c:pt idx="4">
                  <c:v>9</c:v>
                </c:pt>
                <c:pt idx="5">
                  <c:v>9</c:v>
                </c:pt>
                <c:pt idx="6">
                  <c:v>8</c:v>
                </c:pt>
                <c:pt idx="7">
                  <c:v>7.5</c:v>
                </c:pt>
                <c:pt idx="8" formatCode="0.00">
                  <c:v>7.5</c:v>
                </c:pt>
                <c:pt idx="9" formatCode="0.00">
                  <c:v>7</c:v>
                </c:pt>
                <c:pt idx="10" formatCode="0.00">
                  <c:v>7</c:v>
                </c:pt>
                <c:pt idx="11" formatCode="0.00">
                  <c:v>6.5</c:v>
                </c:pt>
                <c:pt idx="12">
                  <c:v>6.5</c:v>
                </c:pt>
                <c:pt idx="13">
                  <c:v>6.5</c:v>
                </c:pt>
                <c:pt idx="14">
                  <c:v>6.5</c:v>
                </c:pt>
                <c:pt idx="15">
                  <c:v>6.5</c:v>
                </c:pt>
                <c:pt idx="16">
                  <c:v>6.5</c:v>
                </c:pt>
                <c:pt idx="17">
                  <c:v>6.5</c:v>
                </c:pt>
                <c:pt idx="18">
                  <c:v>6.5</c:v>
                </c:pt>
                <c:pt idx="19">
                  <c:v>6.5</c:v>
                </c:pt>
                <c:pt idx="20">
                  <c:v>6.5</c:v>
                </c:pt>
                <c:pt idx="21">
                  <c:v>6.5</c:v>
                </c:pt>
                <c:pt idx="22">
                  <c:v>6.5</c:v>
                </c:pt>
                <c:pt idx="23">
                  <c:v>6.5</c:v>
                </c:pt>
                <c:pt idx="24">
                  <c:v>6.5</c:v>
                </c:pt>
              </c:numCache>
            </c:numRef>
          </c:val>
          <c:smooth val="0"/>
          <c:extLst xmlns:c16r2="http://schemas.microsoft.com/office/drawing/2015/06/chart">
            <c:ext xmlns:c16="http://schemas.microsoft.com/office/drawing/2014/chart" uri="{C3380CC4-5D6E-409C-BE32-E72D297353CC}">
              <c16:uniqueId val="{00000020-3515-4AF8-BF57-7258EB773992}"/>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687735560"/>
        <c:axId val="687780248"/>
      </c:lineChart>
      <c:catAx>
        <c:axId val="68773556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687780248"/>
        <c:crosses val="autoZero"/>
        <c:auto val="1"/>
        <c:lblAlgn val="ctr"/>
        <c:lblOffset val="100"/>
        <c:noMultiLvlLbl val="0"/>
      </c:catAx>
      <c:valAx>
        <c:axId val="687780248"/>
        <c:scaling>
          <c:orientation val="minMax"/>
          <c:min val="3"/>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68773556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Sheet3!$B$2</c:f>
              <c:strCache>
                <c:ptCount val="1"/>
                <c:pt idx="0">
                  <c:v>Intrări de surse externe</c:v>
                </c:pt>
              </c:strCache>
            </c:strRef>
          </c:tx>
          <c:spPr>
            <a:pattFill prst="pct30">
              <a:fgClr>
                <a:srgbClr val="4F81BD"/>
              </a:fgClr>
              <a:bgClr>
                <a:schemeClr val="bg1"/>
              </a:bgClr>
            </a:pattFill>
            <a:ln w="9525">
              <a:solidFill>
                <a:schemeClr val="accent1"/>
              </a:solidFill>
            </a:ln>
          </c:spPr>
          <c:invertIfNegative val="0"/>
          <c:cat>
            <c:strRef>
              <c:f>Sheet3!$A$3:$A$27</c:f>
              <c:strCache>
                <c:ptCount val="25"/>
                <c:pt idx="0">
                  <c:v>I  2017</c:v>
                </c:pt>
                <c:pt idx="1">
                  <c:v>II</c:v>
                </c:pt>
                <c:pt idx="2">
                  <c:v>III</c:v>
                </c:pt>
                <c:pt idx="3">
                  <c:v>IV</c:v>
                </c:pt>
                <c:pt idx="4">
                  <c:v>V</c:v>
                </c:pt>
                <c:pt idx="5">
                  <c:v>VI</c:v>
                </c:pt>
                <c:pt idx="6">
                  <c:v>VII</c:v>
                </c:pt>
                <c:pt idx="7">
                  <c:v>VIII</c:v>
                </c:pt>
                <c:pt idx="8">
                  <c:v>IX</c:v>
                </c:pt>
                <c:pt idx="9">
                  <c:v>X</c:v>
                </c:pt>
                <c:pt idx="10">
                  <c:v>XI</c:v>
                </c:pt>
                <c:pt idx="11">
                  <c:v>XII  2017</c:v>
                </c:pt>
                <c:pt idx="12">
                  <c:v>I 2018</c:v>
                </c:pt>
                <c:pt idx="13">
                  <c:v>II</c:v>
                </c:pt>
                <c:pt idx="14">
                  <c:v>III</c:v>
                </c:pt>
                <c:pt idx="15">
                  <c:v>IV</c:v>
                </c:pt>
                <c:pt idx="16">
                  <c:v>V</c:v>
                </c:pt>
                <c:pt idx="17">
                  <c:v>VI</c:v>
                </c:pt>
                <c:pt idx="18">
                  <c:v>VII</c:v>
                </c:pt>
                <c:pt idx="19">
                  <c:v>VIII</c:v>
                </c:pt>
                <c:pt idx="20">
                  <c:v>IX</c:v>
                </c:pt>
                <c:pt idx="21">
                  <c:v>X</c:v>
                </c:pt>
                <c:pt idx="22">
                  <c:v>XI</c:v>
                </c:pt>
                <c:pt idx="23">
                  <c:v>XII  2018</c:v>
                </c:pt>
                <c:pt idx="24">
                  <c:v>I 2019</c:v>
                </c:pt>
              </c:strCache>
            </c:strRef>
          </c:cat>
          <c:val>
            <c:numRef>
              <c:f>Sheet3!$B$3:$B$27</c:f>
              <c:numCache>
                <c:formatCode>0.00</c:formatCode>
                <c:ptCount val="25"/>
                <c:pt idx="0">
                  <c:v>3.3710612700000002</c:v>
                </c:pt>
                <c:pt idx="1">
                  <c:v>55.498358510000003</c:v>
                </c:pt>
                <c:pt idx="2">
                  <c:v>3.3005802200000005</c:v>
                </c:pt>
                <c:pt idx="3">
                  <c:v>14.230000000000004</c:v>
                </c:pt>
                <c:pt idx="4">
                  <c:v>12.5</c:v>
                </c:pt>
                <c:pt idx="5">
                  <c:v>8.4399999999999977</c:v>
                </c:pt>
                <c:pt idx="6">
                  <c:v>2.7599999999999909</c:v>
                </c:pt>
                <c:pt idx="7">
                  <c:v>8.36</c:v>
                </c:pt>
                <c:pt idx="8">
                  <c:v>51.280000000000015</c:v>
                </c:pt>
                <c:pt idx="9">
                  <c:v>11.030000000000001</c:v>
                </c:pt>
                <c:pt idx="10">
                  <c:v>4.7699999999999818</c:v>
                </c:pt>
                <c:pt idx="11">
                  <c:v>20.080000000000013</c:v>
                </c:pt>
                <c:pt idx="12">
                  <c:v>0.22473924000000001</c:v>
                </c:pt>
                <c:pt idx="13">
                  <c:v>3.24296506</c:v>
                </c:pt>
                <c:pt idx="14">
                  <c:v>1.6400174299999999</c:v>
                </c:pt>
                <c:pt idx="15">
                  <c:v>3.034726860000001</c:v>
                </c:pt>
                <c:pt idx="16">
                  <c:v>7.8076331799999998</c:v>
                </c:pt>
                <c:pt idx="17">
                  <c:v>27.959489319999999</c:v>
                </c:pt>
                <c:pt idx="18">
                  <c:v>46.204936680000003</c:v>
                </c:pt>
                <c:pt idx="19">
                  <c:v>5.8638752299999908</c:v>
                </c:pt>
                <c:pt idx="20">
                  <c:v>7.2760963500000031</c:v>
                </c:pt>
                <c:pt idx="21">
                  <c:v>2.2078150800000031</c:v>
                </c:pt>
                <c:pt idx="22" formatCode="0.0">
                  <c:v>24.563563860000002</c:v>
                </c:pt>
                <c:pt idx="23" formatCode="0.0">
                  <c:v>14.803569060000001</c:v>
                </c:pt>
                <c:pt idx="24" formatCode="0.0">
                  <c:v>2.21903864</c:v>
                </c:pt>
              </c:numCache>
            </c:numRef>
          </c:val>
          <c:extLst xmlns:c16r2="http://schemas.microsoft.com/office/drawing/2015/06/chart">
            <c:ext xmlns:c16="http://schemas.microsoft.com/office/drawing/2014/chart" uri="{C3380CC4-5D6E-409C-BE32-E72D297353CC}">
              <c16:uniqueId val="{00000000-A898-46CF-A13C-97C2DCD64D59}"/>
            </c:ext>
          </c:extLst>
        </c:ser>
        <c:ser>
          <c:idx val="1"/>
          <c:order val="1"/>
          <c:tx>
            <c:strRef>
              <c:f>Sheet3!$C$2</c:f>
              <c:strCache>
                <c:ptCount val="1"/>
                <c:pt idx="0">
                  <c:v>Rambursări de surse externe</c:v>
                </c:pt>
              </c:strCache>
            </c:strRef>
          </c:tx>
          <c:spPr>
            <a:solidFill>
              <a:srgbClr val="C0504D"/>
            </a:solidFill>
            <a:ln w="25400">
              <a:noFill/>
            </a:ln>
          </c:spPr>
          <c:invertIfNegative val="0"/>
          <c:cat>
            <c:strRef>
              <c:f>Sheet3!$A$3:$A$27</c:f>
              <c:strCache>
                <c:ptCount val="25"/>
                <c:pt idx="0">
                  <c:v>I  2017</c:v>
                </c:pt>
                <c:pt idx="1">
                  <c:v>II</c:v>
                </c:pt>
                <c:pt idx="2">
                  <c:v>III</c:v>
                </c:pt>
                <c:pt idx="3">
                  <c:v>IV</c:v>
                </c:pt>
                <c:pt idx="4">
                  <c:v>V</c:v>
                </c:pt>
                <c:pt idx="5">
                  <c:v>VI</c:v>
                </c:pt>
                <c:pt idx="6">
                  <c:v>VII</c:v>
                </c:pt>
                <c:pt idx="7">
                  <c:v>VIII</c:v>
                </c:pt>
                <c:pt idx="8">
                  <c:v>IX</c:v>
                </c:pt>
                <c:pt idx="9">
                  <c:v>X</c:v>
                </c:pt>
                <c:pt idx="10">
                  <c:v>XI</c:v>
                </c:pt>
                <c:pt idx="11">
                  <c:v>XII  2017</c:v>
                </c:pt>
                <c:pt idx="12">
                  <c:v>I 2018</c:v>
                </c:pt>
                <c:pt idx="13">
                  <c:v>II</c:v>
                </c:pt>
                <c:pt idx="14">
                  <c:v>III</c:v>
                </c:pt>
                <c:pt idx="15">
                  <c:v>IV</c:v>
                </c:pt>
                <c:pt idx="16">
                  <c:v>V</c:v>
                </c:pt>
                <c:pt idx="17">
                  <c:v>VI</c:v>
                </c:pt>
                <c:pt idx="18">
                  <c:v>VII</c:v>
                </c:pt>
                <c:pt idx="19">
                  <c:v>VIII</c:v>
                </c:pt>
                <c:pt idx="20">
                  <c:v>IX</c:v>
                </c:pt>
                <c:pt idx="21">
                  <c:v>X</c:v>
                </c:pt>
                <c:pt idx="22">
                  <c:v>XI</c:v>
                </c:pt>
                <c:pt idx="23">
                  <c:v>XII  2018</c:v>
                </c:pt>
                <c:pt idx="24">
                  <c:v>I 2019</c:v>
                </c:pt>
              </c:strCache>
            </c:strRef>
          </c:cat>
          <c:val>
            <c:numRef>
              <c:f>Sheet3!$C$3:$C$27</c:f>
              <c:numCache>
                <c:formatCode>0.00</c:formatCode>
                <c:ptCount val="25"/>
                <c:pt idx="0">
                  <c:v>2.85637096</c:v>
                </c:pt>
                <c:pt idx="1">
                  <c:v>11.93266279</c:v>
                </c:pt>
                <c:pt idx="2">
                  <c:v>5.5909662499999992</c:v>
                </c:pt>
                <c:pt idx="3">
                  <c:v>3.6900000000000013</c:v>
                </c:pt>
                <c:pt idx="4">
                  <c:v>2.9299999999999997</c:v>
                </c:pt>
                <c:pt idx="5">
                  <c:v>2.0799999999999983</c:v>
                </c:pt>
                <c:pt idx="6">
                  <c:v>3.7000000000000028</c:v>
                </c:pt>
                <c:pt idx="7">
                  <c:v>21.28</c:v>
                </c:pt>
                <c:pt idx="8">
                  <c:v>6.3799999999999955</c:v>
                </c:pt>
                <c:pt idx="9">
                  <c:v>3.9900000000000091</c:v>
                </c:pt>
                <c:pt idx="10">
                  <c:v>3.4799999999999898</c:v>
                </c:pt>
                <c:pt idx="11">
                  <c:v>3.8200000000000074</c:v>
                </c:pt>
                <c:pt idx="12">
                  <c:v>3.6164462899999998</c:v>
                </c:pt>
                <c:pt idx="13">
                  <c:v>30.084442420000002</c:v>
                </c:pt>
                <c:pt idx="14">
                  <c:v>6.443621229999998</c:v>
                </c:pt>
                <c:pt idx="15">
                  <c:v>4.3202366900000015</c:v>
                </c:pt>
                <c:pt idx="16">
                  <c:v>4.0056532199999992</c:v>
                </c:pt>
                <c:pt idx="17">
                  <c:v>3.5164638400000001</c:v>
                </c:pt>
                <c:pt idx="18">
                  <c:v>4.4803285699999975</c:v>
                </c:pt>
                <c:pt idx="19">
                  <c:v>32.821204000000002</c:v>
                </c:pt>
                <c:pt idx="20">
                  <c:v>8.9750555300000059</c:v>
                </c:pt>
                <c:pt idx="21">
                  <c:v>4.367958999999999</c:v>
                </c:pt>
                <c:pt idx="22" formatCode="0.0">
                  <c:v>4.1917922299999901</c:v>
                </c:pt>
                <c:pt idx="23" formatCode="0.0">
                  <c:v>5.1118161200000003</c:v>
                </c:pt>
                <c:pt idx="24" formatCode="0.0">
                  <c:v>3.8757499700000002</c:v>
                </c:pt>
              </c:numCache>
            </c:numRef>
          </c:val>
          <c:extLst xmlns:c16r2="http://schemas.microsoft.com/office/drawing/2015/06/chart">
            <c:ext xmlns:c16="http://schemas.microsoft.com/office/drawing/2014/chart" uri="{C3380CC4-5D6E-409C-BE32-E72D297353CC}">
              <c16:uniqueId val="{00000001-A898-46CF-A13C-97C2DCD64D59}"/>
            </c:ext>
          </c:extLst>
        </c:ser>
        <c:dLbls>
          <c:showLegendKey val="0"/>
          <c:showVal val="0"/>
          <c:showCatName val="0"/>
          <c:showSerName val="0"/>
          <c:showPercent val="0"/>
          <c:showBubbleSize val="0"/>
        </c:dLbls>
        <c:gapWidth val="219"/>
        <c:axId val="687781032"/>
        <c:axId val="687781424"/>
      </c:barChart>
      <c:lineChart>
        <c:grouping val="stacked"/>
        <c:varyColors val="0"/>
        <c:ser>
          <c:idx val="2"/>
          <c:order val="2"/>
          <c:tx>
            <c:strRef>
              <c:f>Sheet3!$D$2</c:f>
              <c:strCache>
                <c:ptCount val="1"/>
                <c:pt idx="0">
                  <c:v>Finanțarea externă netă</c:v>
                </c:pt>
              </c:strCache>
            </c:strRef>
          </c:tx>
          <c:spPr>
            <a:ln w="9525" cap="rnd">
              <a:solidFill>
                <a:srgbClr val="44546A"/>
              </a:solidFill>
              <a:round/>
            </a:ln>
            <a:effectLst/>
          </c:spPr>
          <c:marker>
            <c:spPr>
              <a:ln w="19050"/>
            </c:spPr>
          </c:marker>
          <c:dLbls>
            <c:dLbl>
              <c:idx val="0"/>
              <c:layout>
                <c:manualLayout>
                  <c:x val="-4.2194092827004218E-2"/>
                  <c:y val="3.757985719654258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898-46CF-A13C-97C2DCD64D59}"/>
                </c:ext>
                <c:ext xmlns:c15="http://schemas.microsoft.com/office/drawing/2012/chart" uri="{CE6537A1-D6FC-4f65-9D91-7224C49458BB}"/>
              </c:extLst>
            </c:dLbl>
            <c:dLbl>
              <c:idx val="2"/>
              <c:layout>
                <c:manualLayout>
                  <c:x val="-3.750586029067042E-2"/>
                  <c:y val="4.509582863585125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898-46CF-A13C-97C2DCD64D59}"/>
                </c:ext>
                <c:ext xmlns:c15="http://schemas.microsoft.com/office/drawing/2012/chart" uri="{CE6537A1-D6FC-4f65-9D91-7224C49458BB}"/>
              </c:extLst>
            </c:dLbl>
            <c:dLbl>
              <c:idx val="3"/>
              <c:layout>
                <c:manualLayout>
                  <c:x val="-3.2817627754336616E-2"/>
                  <c:y val="-4.509582863585118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898-46CF-A13C-97C2DCD64D59}"/>
                </c:ext>
                <c:ext xmlns:c15="http://schemas.microsoft.com/office/drawing/2012/chart" uri="{CE6537A1-D6FC-4f65-9D91-7224C49458BB}"/>
              </c:extLst>
            </c:dLbl>
            <c:dLbl>
              <c:idx val="4"/>
              <c:layout>
                <c:manualLayout>
                  <c:x val="-2.1097046413502109E-2"/>
                  <c:y val="-3.382187147688845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898-46CF-A13C-97C2DCD64D59}"/>
                </c:ext>
                <c:ext xmlns:c15="http://schemas.microsoft.com/office/drawing/2012/chart" uri="{CE6537A1-D6FC-4f65-9D91-7224C49458BB}"/>
              </c:extLst>
            </c:dLbl>
            <c:dLbl>
              <c:idx val="6"/>
              <c:layout>
                <c:manualLayout>
                  <c:x val="-9.3764650726676051E-3"/>
                  <c:y val="6.8895608972374253E-17"/>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898-46CF-A13C-97C2DCD64D59}"/>
                </c:ext>
                <c:ext xmlns:c15="http://schemas.microsoft.com/office/drawing/2012/chart" uri="{CE6537A1-D6FC-4f65-9D91-7224C49458BB}"/>
              </c:extLst>
            </c:dLbl>
            <c:dLbl>
              <c:idx val="7"/>
              <c:layout>
                <c:manualLayout>
                  <c:x val="-5.6258790436005714E-2"/>
                  <c:y val="4.133784291619691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898-46CF-A13C-97C2DCD64D59}"/>
                </c:ext>
                <c:ext xmlns:c15="http://schemas.microsoft.com/office/drawing/2012/chart" uri="{CE6537A1-D6FC-4f65-9D91-7224C49458BB}"/>
              </c:extLst>
            </c:dLbl>
            <c:dLbl>
              <c:idx val="10"/>
              <c:layout>
                <c:manualLayout>
                  <c:x val="-1.4064697609001406E-2"/>
                  <c:y val="1.127395715896279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A898-46CF-A13C-97C2DCD64D59}"/>
                </c:ext>
                <c:ext xmlns:c15="http://schemas.microsoft.com/office/drawing/2012/chart" uri="{CE6537A1-D6FC-4f65-9D91-7224C49458BB}"/>
              </c:extLst>
            </c:dLbl>
            <c:dLbl>
              <c:idx val="16"/>
              <c:layout>
                <c:manualLayout>
                  <c:x val="-9.3764650726676051E-3"/>
                  <c:y val="-7.5159714393085303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A898-46CF-A13C-97C2DCD64D59}"/>
                </c:ext>
                <c:ext xmlns:c15="http://schemas.microsoft.com/office/drawing/2012/chart" uri="{CE6537A1-D6FC-4f65-9D91-7224C49458BB}"/>
              </c:extLst>
            </c:dLbl>
            <c:dLbl>
              <c:idx val="17"/>
              <c:layout>
                <c:manualLayout>
                  <c:x val="-2.3625429553264764E-2"/>
                  <c:y val="-3.561253561253561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A898-46CF-A13C-97C2DCD64D59}"/>
                </c:ext>
                <c:ext xmlns:c15="http://schemas.microsoft.com/office/drawing/2012/chart" uri="{CE6537A1-D6FC-4f65-9D91-7224C49458BB}"/>
              </c:extLst>
            </c:dLbl>
            <c:dLbl>
              <c:idx val="18"/>
              <c:layout>
                <c:manualLayout>
                  <c:x val="-4.869411243913252E-2"/>
                  <c:y val="-6.41025641025640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A898-46CF-A13C-97C2DCD64D59}"/>
                </c:ext>
                <c:ext xmlns:c15="http://schemas.microsoft.com/office/drawing/2012/chart" uri="{CE6537A1-D6FC-4f65-9D91-7224C49458BB}"/>
              </c:extLst>
            </c:dLbl>
            <c:dLbl>
              <c:idx val="19"/>
              <c:layout>
                <c:manualLayout>
                  <c:x val="-3.3200531208499334E-2"/>
                  <c:y val="2.13675213675213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A898-46CF-A13C-97C2DCD64D59}"/>
                </c:ext>
                <c:ext xmlns:c15="http://schemas.microsoft.com/office/drawing/2012/chart" uri="{CE6537A1-D6FC-4f65-9D91-7224C49458BB}"/>
              </c:extLst>
            </c:dLbl>
            <c:dLbl>
              <c:idx val="20"/>
              <c:layout>
                <c:manualLayout>
                  <c:x val="-4.2054006197432492E-2"/>
                  <c:y val="1.0683760683760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A898-46CF-A13C-97C2DCD64D59}"/>
                </c:ext>
                <c:ext xmlns:c15="http://schemas.microsoft.com/office/drawing/2012/chart" uri="{CE6537A1-D6FC-4f65-9D91-7224C49458BB}"/>
              </c:extLst>
            </c:dLbl>
            <c:dLbl>
              <c:idx val="21"/>
              <c:layout>
                <c:manualLayout>
                  <c:x val="-3.0987162461266048E-2"/>
                  <c:y val="2.84900284900284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A898-46CF-A13C-97C2DCD64D59}"/>
                </c:ext>
                <c:ext xmlns:c15="http://schemas.microsoft.com/office/drawing/2012/chart" uri="{CE6537A1-D6FC-4f65-9D91-7224C49458BB}"/>
              </c:extLst>
            </c:dLbl>
            <c:dLbl>
              <c:idx val="22"/>
              <c:layout>
                <c:manualLayout>
                  <c:x val="-1.3280212483399735E-2"/>
                  <c:y val="-2.13675213675214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A898-46CF-A13C-97C2DCD64D59}"/>
                </c:ext>
                <c:ext xmlns:c15="http://schemas.microsoft.com/office/drawing/2012/chart" uri="{CE6537A1-D6FC-4f65-9D91-7224C49458BB}"/>
              </c:extLst>
            </c:dLbl>
            <c:spPr>
              <a:noFill/>
              <a:ln w="25400">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Sheet3!$A$3:$A$27</c:f>
              <c:strCache>
                <c:ptCount val="25"/>
                <c:pt idx="0">
                  <c:v>I  2017</c:v>
                </c:pt>
                <c:pt idx="1">
                  <c:v>II</c:v>
                </c:pt>
                <c:pt idx="2">
                  <c:v>III</c:v>
                </c:pt>
                <c:pt idx="3">
                  <c:v>IV</c:v>
                </c:pt>
                <c:pt idx="4">
                  <c:v>V</c:v>
                </c:pt>
                <c:pt idx="5">
                  <c:v>VI</c:v>
                </c:pt>
                <c:pt idx="6">
                  <c:v>VII</c:v>
                </c:pt>
                <c:pt idx="7">
                  <c:v>VIII</c:v>
                </c:pt>
                <c:pt idx="8">
                  <c:v>IX</c:v>
                </c:pt>
                <c:pt idx="9">
                  <c:v>X</c:v>
                </c:pt>
                <c:pt idx="10">
                  <c:v>XI</c:v>
                </c:pt>
                <c:pt idx="11">
                  <c:v>XII  2017</c:v>
                </c:pt>
                <c:pt idx="12">
                  <c:v>I 2018</c:v>
                </c:pt>
                <c:pt idx="13">
                  <c:v>II</c:v>
                </c:pt>
                <c:pt idx="14">
                  <c:v>III</c:v>
                </c:pt>
                <c:pt idx="15">
                  <c:v>IV</c:v>
                </c:pt>
                <c:pt idx="16">
                  <c:v>V</c:v>
                </c:pt>
                <c:pt idx="17">
                  <c:v>VI</c:v>
                </c:pt>
                <c:pt idx="18">
                  <c:v>VII</c:v>
                </c:pt>
                <c:pt idx="19">
                  <c:v>VIII</c:v>
                </c:pt>
                <c:pt idx="20">
                  <c:v>IX</c:v>
                </c:pt>
                <c:pt idx="21">
                  <c:v>X</c:v>
                </c:pt>
                <c:pt idx="22">
                  <c:v>XI</c:v>
                </c:pt>
                <c:pt idx="23">
                  <c:v>XII  2018</c:v>
                </c:pt>
                <c:pt idx="24">
                  <c:v>I 2019</c:v>
                </c:pt>
              </c:strCache>
            </c:strRef>
          </c:cat>
          <c:val>
            <c:numRef>
              <c:f>Sheet3!$D$3:$D$27</c:f>
              <c:numCache>
                <c:formatCode>#,##0.00</c:formatCode>
                <c:ptCount val="25"/>
                <c:pt idx="0">
                  <c:v>0.51469031000000021</c:v>
                </c:pt>
                <c:pt idx="1">
                  <c:v>43.565695720000001</c:v>
                </c:pt>
                <c:pt idx="2">
                  <c:v>-2.2903860299999987</c:v>
                </c:pt>
                <c:pt idx="3">
                  <c:v>10.540000000000003</c:v>
                </c:pt>
                <c:pt idx="4">
                  <c:v>9.57</c:v>
                </c:pt>
                <c:pt idx="5">
                  <c:v>6.3599999999999994</c:v>
                </c:pt>
                <c:pt idx="6">
                  <c:v>-0.94000000000001194</c:v>
                </c:pt>
                <c:pt idx="7">
                  <c:v>-12.920000000000002</c:v>
                </c:pt>
                <c:pt idx="8">
                  <c:v>44.90000000000002</c:v>
                </c:pt>
                <c:pt idx="9">
                  <c:v>7.039999999999992</c:v>
                </c:pt>
                <c:pt idx="10">
                  <c:v>1.289999999999992</c:v>
                </c:pt>
                <c:pt idx="11">
                  <c:v>16.260000000000005</c:v>
                </c:pt>
                <c:pt idx="12">
                  <c:v>-3.3917070499999999</c:v>
                </c:pt>
                <c:pt idx="13">
                  <c:v>-26.841477360000003</c:v>
                </c:pt>
                <c:pt idx="14">
                  <c:v>-4.8036037999999976</c:v>
                </c:pt>
                <c:pt idx="15">
                  <c:v>-1.2855098300000005</c:v>
                </c:pt>
                <c:pt idx="16">
                  <c:v>3.8019799600000006</c:v>
                </c:pt>
                <c:pt idx="17">
                  <c:v>24.443025479999999</c:v>
                </c:pt>
                <c:pt idx="18">
                  <c:v>41.724608110000005</c:v>
                </c:pt>
                <c:pt idx="19">
                  <c:v>-26.957328770000011</c:v>
                </c:pt>
                <c:pt idx="20">
                  <c:v>-1.6989591800000028</c:v>
                </c:pt>
                <c:pt idx="21">
                  <c:v>-2.1601439199999959</c:v>
                </c:pt>
                <c:pt idx="22" formatCode="0.0">
                  <c:v>20.371771630000012</c:v>
                </c:pt>
                <c:pt idx="23" formatCode="0.0">
                  <c:v>9.6917529400000006</c:v>
                </c:pt>
                <c:pt idx="24" formatCode="0.0">
                  <c:v>-1.6567113300000003</c:v>
                </c:pt>
              </c:numCache>
            </c:numRef>
          </c:val>
          <c:smooth val="1"/>
          <c:extLst xmlns:c16r2="http://schemas.microsoft.com/office/drawing/2015/06/chart">
            <c:ext xmlns:c16="http://schemas.microsoft.com/office/drawing/2014/chart" uri="{C3380CC4-5D6E-409C-BE32-E72D297353CC}">
              <c16:uniqueId val="{00000010-A898-46CF-A13C-97C2DCD64D59}"/>
            </c:ext>
          </c:extLst>
        </c:ser>
        <c:dLbls>
          <c:showLegendKey val="0"/>
          <c:showVal val="0"/>
          <c:showCatName val="0"/>
          <c:showSerName val="0"/>
          <c:showPercent val="0"/>
          <c:showBubbleSize val="0"/>
        </c:dLbls>
        <c:marker val="1"/>
        <c:smooth val="0"/>
        <c:axId val="687781032"/>
        <c:axId val="687781424"/>
      </c:lineChart>
      <c:catAx>
        <c:axId val="68778103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781424"/>
        <c:crosses val="autoZero"/>
        <c:auto val="1"/>
        <c:lblAlgn val="ctr"/>
        <c:lblOffset val="100"/>
        <c:noMultiLvlLbl val="0"/>
      </c:catAx>
      <c:valAx>
        <c:axId val="687781424"/>
        <c:scaling>
          <c:orientation val="minMax"/>
          <c:min val="-3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781032"/>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893823290375009E-2"/>
          <c:y val="2.8655123831591897E-2"/>
          <c:w val="0.91636102403343778"/>
          <c:h val="0.66422536420004719"/>
        </c:manualLayout>
      </c:layout>
      <c:barChart>
        <c:barDir val="col"/>
        <c:grouping val="stacked"/>
        <c:varyColors val="0"/>
        <c:ser>
          <c:idx val="0"/>
          <c:order val="0"/>
          <c:tx>
            <c:strRef>
              <c:f>Grafice06_18!$A$270</c:f>
              <c:strCache>
                <c:ptCount val="1"/>
                <c:pt idx="0">
                  <c:v>TOTAL PE ACTIVITATI                                                                                                                                             </c:v>
                </c:pt>
              </c:strCache>
            </c:strRef>
          </c:tx>
          <c:spPr>
            <a:solidFill>
              <a:srgbClr val="4F81BD"/>
            </a:solidFill>
            <a:ln w="25400">
              <a:noFill/>
            </a:ln>
          </c:spPr>
          <c:invertIfNegative val="0"/>
          <c:cat>
            <c:multiLvlStrRef>
              <c:f>Grafice06_18!$B$268:$F$269</c:f>
              <c:multiLvlStrCache>
                <c:ptCount val="5"/>
                <c:lvl>
                  <c:pt idx="0">
                    <c:v>2014</c:v>
                  </c:pt>
                  <c:pt idx="1">
                    <c:v>2015</c:v>
                  </c:pt>
                  <c:pt idx="2">
                    <c:v>2016</c:v>
                  </c:pt>
                  <c:pt idx="3">
                    <c:v>2017</c:v>
                  </c:pt>
                  <c:pt idx="4">
                    <c:v>2018</c:v>
                  </c:pt>
                </c:lvl>
                <c:lvl>
                  <c:pt idx="0">
                    <c:v>I-VI</c:v>
                  </c:pt>
                  <c:pt idx="1">
                    <c:v>I-VI</c:v>
                  </c:pt>
                  <c:pt idx="2">
                    <c:v>I-VI</c:v>
                  </c:pt>
                  <c:pt idx="3">
                    <c:v>I-VI</c:v>
                  </c:pt>
                  <c:pt idx="4">
                    <c:v>I-VI</c:v>
                  </c:pt>
                </c:lvl>
              </c:multiLvlStrCache>
            </c:multiLvlStrRef>
          </c:cat>
          <c:val>
            <c:numRef>
              <c:f>Grafice06_18!$B$270:$F$270</c:f>
            </c:numRef>
          </c:val>
          <c:extLst xmlns:c16r2="http://schemas.microsoft.com/office/drawing/2015/06/chart">
            <c:ext xmlns:c16="http://schemas.microsoft.com/office/drawing/2014/chart" uri="{C3380CC4-5D6E-409C-BE32-E72D297353CC}">
              <c16:uniqueId val="{00000000-7E1A-4FCF-B5DE-BB6A2B59D92D}"/>
            </c:ext>
          </c:extLst>
        </c:ser>
        <c:ser>
          <c:idx val="1"/>
          <c:order val="1"/>
          <c:tx>
            <c:strRef>
              <c:f>Grafice12_18!$A$8</c:f>
              <c:strCache>
                <c:ptCount val="1"/>
                <c:pt idx="0">
                  <c:v>Industria extractivă</c:v>
                </c:pt>
              </c:strCache>
            </c:strRef>
          </c:tx>
          <c:spPr>
            <a:solidFill>
              <a:schemeClr val="tx2">
                <a:lumMod val="75000"/>
              </a:schemeClr>
            </a:solidFill>
            <a:ln w="25400">
              <a:noFill/>
            </a:ln>
          </c:spPr>
          <c:invertIfNegative val="0"/>
          <c:cat>
            <c:strRef>
              <c:f>Grafice12_18!$B$5:$F$6</c:f>
              <c:strCache>
                <c:ptCount val="5"/>
                <c:pt idx="0">
                  <c:v>2014</c:v>
                </c:pt>
                <c:pt idx="1">
                  <c:v>2015</c:v>
                </c:pt>
                <c:pt idx="2">
                  <c:v>2016</c:v>
                </c:pt>
                <c:pt idx="3">
                  <c:v>2017</c:v>
                </c:pt>
                <c:pt idx="4">
                  <c:v>2018</c:v>
                </c:pt>
              </c:strCache>
            </c:strRef>
          </c:cat>
          <c:val>
            <c:numRef>
              <c:f>Grafice12_18!$B$8:$F$8</c:f>
              <c:numCache>
                <c:formatCode>0.0</c:formatCode>
                <c:ptCount val="5"/>
                <c:pt idx="0">
                  <c:v>7.2246192978371385E-3</c:v>
                </c:pt>
                <c:pt idx="1">
                  <c:v>-0.24918974095710025</c:v>
                </c:pt>
                <c:pt idx="2" formatCode="General">
                  <c:v>-0.6</c:v>
                </c:pt>
                <c:pt idx="3">
                  <c:v>-0.11250879044369068</c:v>
                </c:pt>
                <c:pt idx="4">
                  <c:v>0.24808924440599556</c:v>
                </c:pt>
              </c:numCache>
            </c:numRef>
          </c:val>
          <c:extLst xmlns:c16r2="http://schemas.microsoft.com/office/drawing/2015/06/chart">
            <c:ext xmlns:c16="http://schemas.microsoft.com/office/drawing/2014/chart" uri="{C3380CC4-5D6E-409C-BE32-E72D297353CC}">
              <c16:uniqueId val="{00000001-7E1A-4FCF-B5DE-BB6A2B59D92D}"/>
            </c:ext>
          </c:extLst>
        </c:ser>
        <c:ser>
          <c:idx val="2"/>
          <c:order val="2"/>
          <c:tx>
            <c:strRef>
              <c:f>Grafice12_18!$A$9</c:f>
              <c:strCache>
                <c:ptCount val="1"/>
                <c:pt idx="0">
                  <c:v>Industria prelucrătoare</c:v>
                </c:pt>
              </c:strCache>
            </c:strRef>
          </c:tx>
          <c:spPr>
            <a:solidFill>
              <a:srgbClr val="525FD8"/>
            </a:solidFill>
            <a:ln w="25400">
              <a:noFill/>
            </a:ln>
          </c:spPr>
          <c:invertIfNegative val="0"/>
          <c:cat>
            <c:strRef>
              <c:f>Grafice12_18!$B$5:$F$6</c:f>
              <c:strCache>
                <c:ptCount val="5"/>
                <c:pt idx="0">
                  <c:v>2014</c:v>
                </c:pt>
                <c:pt idx="1">
                  <c:v>2015</c:v>
                </c:pt>
                <c:pt idx="2">
                  <c:v>2016</c:v>
                </c:pt>
                <c:pt idx="3">
                  <c:v>2017</c:v>
                </c:pt>
                <c:pt idx="4">
                  <c:v>2018</c:v>
                </c:pt>
              </c:strCache>
            </c:strRef>
          </c:cat>
          <c:val>
            <c:numRef>
              <c:f>Grafice12_18!$B$9:$F$9</c:f>
              <c:numCache>
                <c:formatCode>0.0</c:formatCode>
                <c:ptCount val="5"/>
                <c:pt idx="0">
                  <c:v>6.8568204866467219</c:v>
                </c:pt>
                <c:pt idx="1">
                  <c:v>1.8232757114813964</c:v>
                </c:pt>
                <c:pt idx="2" formatCode="General">
                  <c:v>0.6</c:v>
                </c:pt>
                <c:pt idx="3">
                  <c:v>3.7452613905996341</c:v>
                </c:pt>
                <c:pt idx="4">
                  <c:v>2.2689038790398057</c:v>
                </c:pt>
              </c:numCache>
            </c:numRef>
          </c:val>
          <c:extLst xmlns:c16r2="http://schemas.microsoft.com/office/drawing/2015/06/chart">
            <c:ext xmlns:c16="http://schemas.microsoft.com/office/drawing/2014/chart" uri="{C3380CC4-5D6E-409C-BE32-E72D297353CC}">
              <c16:uniqueId val="{00000002-7E1A-4FCF-B5DE-BB6A2B59D92D}"/>
            </c:ext>
          </c:extLst>
        </c:ser>
        <c:ser>
          <c:idx val="3"/>
          <c:order val="3"/>
          <c:tx>
            <c:strRef>
              <c:f>Grafice12_18!$A$10</c:f>
              <c:strCache>
                <c:ptCount val="1"/>
                <c:pt idx="0">
                  <c:v>Producția și furnizarea de energie</c:v>
                </c:pt>
              </c:strCache>
            </c:strRef>
          </c:tx>
          <c:spPr>
            <a:solidFill>
              <a:schemeClr val="tx2">
                <a:lumMod val="20000"/>
                <a:lumOff val="80000"/>
              </a:schemeClr>
            </a:solidFill>
            <a:ln w="25400">
              <a:noFill/>
            </a:ln>
          </c:spPr>
          <c:invertIfNegative val="0"/>
          <c:cat>
            <c:strRef>
              <c:f>Grafice12_18!$B$5:$F$6</c:f>
              <c:strCache>
                <c:ptCount val="5"/>
                <c:pt idx="0">
                  <c:v>2014</c:v>
                </c:pt>
                <c:pt idx="1">
                  <c:v>2015</c:v>
                </c:pt>
                <c:pt idx="2">
                  <c:v>2016</c:v>
                </c:pt>
                <c:pt idx="3">
                  <c:v>2017</c:v>
                </c:pt>
                <c:pt idx="4">
                  <c:v>2018</c:v>
                </c:pt>
              </c:strCache>
            </c:strRef>
          </c:cat>
          <c:val>
            <c:numRef>
              <c:f>Grafice12_18!$B$10:$F$10</c:f>
              <c:numCache>
                <c:formatCode>0.0</c:formatCode>
                <c:ptCount val="5"/>
                <c:pt idx="0">
                  <c:v>0.47047988032335042</c:v>
                </c:pt>
                <c:pt idx="1">
                  <c:v>-0.94286900806752105</c:v>
                </c:pt>
                <c:pt idx="2" formatCode="General">
                  <c:v>-0.6</c:v>
                </c:pt>
                <c:pt idx="3">
                  <c:v>-0.22372570450303228</c:v>
                </c:pt>
                <c:pt idx="4">
                  <c:v>1.1948378321234523</c:v>
                </c:pt>
              </c:numCache>
            </c:numRef>
          </c:val>
          <c:extLst xmlns:c16r2="http://schemas.microsoft.com/office/drawing/2015/06/chart">
            <c:ext xmlns:c16="http://schemas.microsoft.com/office/drawing/2014/chart" uri="{C3380CC4-5D6E-409C-BE32-E72D297353CC}">
              <c16:uniqueId val="{00000003-7E1A-4FCF-B5DE-BB6A2B59D92D}"/>
            </c:ext>
          </c:extLst>
        </c:ser>
        <c:dLbls>
          <c:showLegendKey val="0"/>
          <c:showVal val="0"/>
          <c:showCatName val="0"/>
          <c:showSerName val="0"/>
          <c:showPercent val="0"/>
          <c:showBubbleSize val="0"/>
        </c:dLbls>
        <c:gapWidth val="150"/>
        <c:overlap val="100"/>
        <c:axId val="687782208"/>
        <c:axId val="687782600"/>
      </c:barChart>
      <c:lineChart>
        <c:grouping val="standard"/>
        <c:varyColors val="0"/>
        <c:ser>
          <c:idx val="4"/>
          <c:order val="4"/>
          <c:tx>
            <c:strRef>
              <c:f>Grafice12_18!$A$11</c:f>
              <c:strCache>
                <c:ptCount val="1"/>
                <c:pt idx="0">
                  <c:v>TOTAL industie</c:v>
                </c:pt>
              </c:strCache>
            </c:strRef>
          </c:tx>
          <c:spPr>
            <a:ln w="28575" cap="rnd">
              <a:solidFill>
                <a:schemeClr val="tx2">
                  <a:lumMod val="40000"/>
                  <a:lumOff val="60000"/>
                </a:schemeClr>
              </a:solidFill>
              <a:round/>
            </a:ln>
            <a:effectLst/>
          </c:spPr>
          <c:marker>
            <c:symbol val="none"/>
          </c:marker>
          <c:dLbls>
            <c:dLbl>
              <c:idx val="0"/>
              <c:layout>
                <c:manualLayout>
                  <c:x val="1.841620626151013E-2"/>
                  <c:y val="0"/>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E1A-4FCF-B5DE-BB6A2B59D92D}"/>
                </c:ext>
                <c:ext xmlns:c15="http://schemas.microsoft.com/office/drawing/2012/chart" uri="{CE6537A1-D6FC-4f65-9D91-7224C49458BB}"/>
              </c:extLst>
            </c:dLbl>
            <c:dLbl>
              <c:idx val="1"/>
              <c:layout>
                <c:manualLayout>
                  <c:x val="-3.6708152888396232E-2"/>
                  <c:y val="-0.10176895683501448"/>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E1A-4FCF-B5DE-BB6A2B59D92D}"/>
                </c:ext>
                <c:ext xmlns:c15="http://schemas.microsoft.com/office/drawing/2012/chart" uri="{CE6537A1-D6FC-4f65-9D91-7224C49458BB}"/>
              </c:extLst>
            </c:dLbl>
            <c:dLbl>
              <c:idx val="2"/>
              <c:layout>
                <c:manualLayout>
                  <c:x val="-4.0812641083521443E-2"/>
                  <c:y val="-0.10523816101934627"/>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E1A-4FCF-B5DE-BB6A2B59D92D}"/>
                </c:ext>
                <c:ext xmlns:c15="http://schemas.microsoft.com/office/drawing/2012/chart" uri="{CE6537A1-D6FC-4f65-9D91-7224C49458BB}"/>
              </c:extLst>
            </c:dLbl>
            <c:spPr>
              <a:noFill/>
              <a:ln w="25400">
                <a:noFill/>
              </a:ln>
            </c:spPr>
            <c:txPr>
              <a:bodyPr/>
              <a:lstStyle/>
              <a:p>
                <a:pPr>
                  <a:defRPr sz="700" b="0" i="0" u="none" strike="noStrike" baseline="0">
                    <a:solidFill>
                      <a:srgbClr val="333333"/>
                    </a:solidFill>
                    <a:latin typeface="Calibri"/>
                    <a:ea typeface="Calibri"/>
                    <a:cs typeface="Calibri"/>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Grafice12_18!$B$5:$F$6</c:f>
              <c:strCache>
                <c:ptCount val="5"/>
                <c:pt idx="0">
                  <c:v>2014</c:v>
                </c:pt>
                <c:pt idx="1">
                  <c:v>2015</c:v>
                </c:pt>
                <c:pt idx="2">
                  <c:v>2016</c:v>
                </c:pt>
                <c:pt idx="3">
                  <c:v>2017</c:v>
                </c:pt>
                <c:pt idx="4">
                  <c:v>2018</c:v>
                </c:pt>
              </c:strCache>
            </c:strRef>
          </c:cat>
          <c:val>
            <c:numRef>
              <c:f>Grafice12_18!$B$11:$F$11</c:f>
              <c:numCache>
                <c:formatCode>0.0</c:formatCode>
                <c:ptCount val="5"/>
                <c:pt idx="0">
                  <c:v>7.3345249862679092</c:v>
                </c:pt>
                <c:pt idx="1">
                  <c:v>0.63121696245677517</c:v>
                </c:pt>
                <c:pt idx="2">
                  <c:v>-0.6</c:v>
                </c:pt>
                <c:pt idx="3">
                  <c:v>3.4090268956529113</c:v>
                </c:pt>
                <c:pt idx="4">
                  <c:v>3.7118309555692539</c:v>
                </c:pt>
              </c:numCache>
            </c:numRef>
          </c:val>
          <c:smooth val="1"/>
          <c:extLst xmlns:c16r2="http://schemas.microsoft.com/office/drawing/2015/06/chart">
            <c:ext xmlns:c16="http://schemas.microsoft.com/office/drawing/2014/chart" uri="{C3380CC4-5D6E-409C-BE32-E72D297353CC}">
              <c16:uniqueId val="{00000007-7E1A-4FCF-B5DE-BB6A2B59D92D}"/>
            </c:ext>
          </c:extLst>
        </c:ser>
        <c:dLbls>
          <c:showLegendKey val="0"/>
          <c:showVal val="0"/>
          <c:showCatName val="0"/>
          <c:showSerName val="0"/>
          <c:showPercent val="0"/>
          <c:showBubbleSize val="0"/>
        </c:dLbls>
        <c:marker val="1"/>
        <c:smooth val="0"/>
        <c:axId val="687782208"/>
        <c:axId val="687782600"/>
      </c:lineChart>
      <c:catAx>
        <c:axId val="68778220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vert="horz"/>
          <a:lstStyle/>
          <a:p>
            <a:pPr>
              <a:defRPr sz="700" b="0" i="0" u="none" strike="noStrike" baseline="0">
                <a:solidFill>
                  <a:srgbClr val="333333"/>
                </a:solidFill>
                <a:latin typeface="Calibri"/>
                <a:ea typeface="Calibri"/>
                <a:cs typeface="Calibri"/>
              </a:defRPr>
            </a:pPr>
            <a:endParaRPr lang="en-US"/>
          </a:p>
        </c:txPr>
        <c:crossAx val="687782600"/>
        <c:crosses val="autoZero"/>
        <c:auto val="1"/>
        <c:lblAlgn val="ctr"/>
        <c:lblOffset val="100"/>
        <c:noMultiLvlLbl val="0"/>
      </c:catAx>
      <c:valAx>
        <c:axId val="687782600"/>
        <c:scaling>
          <c:orientation val="minMax"/>
          <c:max val="8.5"/>
          <c:min val="-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ln w="9525">
            <a:noFill/>
          </a:ln>
        </c:spPr>
        <c:txPr>
          <a:bodyPr rot="0" vert="horz"/>
          <a:lstStyle/>
          <a:p>
            <a:pPr>
              <a:defRPr sz="700" b="0" i="0" u="none" strike="noStrike" baseline="0">
                <a:solidFill>
                  <a:srgbClr val="333333"/>
                </a:solidFill>
                <a:latin typeface="Calibri"/>
                <a:ea typeface="Calibri"/>
                <a:cs typeface="Calibri"/>
              </a:defRPr>
            </a:pPr>
            <a:endParaRPr lang="en-US"/>
          </a:p>
        </c:txPr>
        <c:crossAx val="687782208"/>
        <c:crosses val="autoZero"/>
        <c:crossBetween val="between"/>
      </c:valAx>
      <c:spPr>
        <a:noFill/>
        <a:ln w="25400">
          <a:noFill/>
        </a:ln>
      </c:spPr>
    </c:plotArea>
    <c:legend>
      <c:legendPos val="b"/>
      <c:overlay val="0"/>
      <c:spPr>
        <a:noFill/>
        <a:ln w="25400">
          <a:noFill/>
        </a:ln>
      </c:spPr>
      <c:txPr>
        <a:bodyPr/>
        <a:lstStyle/>
        <a:p>
          <a:pPr>
            <a:defRPr sz="640"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96692446931052"/>
          <c:y val="3.3714189981571455E-2"/>
          <c:w val="0.63757036273484002"/>
          <c:h val="0.91487490925336479"/>
        </c:manualLayout>
      </c:layout>
      <c:barChart>
        <c:barDir val="col"/>
        <c:grouping val="percentStacked"/>
        <c:varyColors val="0"/>
        <c:ser>
          <c:idx val="0"/>
          <c:order val="0"/>
          <c:tx>
            <c:strRef>
              <c:f>Grafice12_18!$U$5</c:f>
              <c:strCache>
                <c:ptCount val="1"/>
                <c:pt idx="0">
                  <c:v>Industria extractivă</c:v>
                </c:pt>
              </c:strCache>
            </c:strRef>
          </c:tx>
          <c:spPr>
            <a:solidFill>
              <a:schemeClr val="tx2"/>
            </a:solidFill>
            <a:ln>
              <a:solidFill>
                <a:schemeClr val="bg1">
                  <a:lumMod val="50000"/>
                </a:schemeClr>
              </a:solidFill>
            </a:ln>
            <a:effectLst/>
          </c:spPr>
          <c:invertIfNegative val="0"/>
          <c:dLbls>
            <c:dLbl>
              <c:idx val="0"/>
              <c:layout>
                <c:manualLayout>
                  <c:x val="0.12972326190528305"/>
                  <c:y val="5.2807648237130665E-5"/>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106-4EE5-8D87-63D901451B71}"/>
                </c:ext>
                <c:ext xmlns:c15="http://schemas.microsoft.com/office/drawing/2012/chart" uri="{CE6537A1-D6FC-4f65-9D91-7224C49458BB}"/>
              </c:extLst>
            </c:dLbl>
            <c:dLbl>
              <c:idx val="1"/>
              <c:layout>
                <c:manualLayout>
                  <c:x val="0.13237067541355405"/>
                  <c:y val="1.2216809384935051E-3"/>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106-4EE5-8D87-63D901451B71}"/>
                </c:ext>
                <c:ext xmlns:c15="http://schemas.microsoft.com/office/drawing/2012/chart" uri="{CE6537A1-D6FC-4f65-9D91-7224C49458BB}"/>
              </c:extLst>
            </c:dLbl>
            <c:spPr>
              <a:noFill/>
              <a:ln w="25400">
                <a:noFill/>
              </a:ln>
            </c:spPr>
            <c:txPr>
              <a:bodyPr/>
              <a:lstStyle/>
              <a:p>
                <a:pPr>
                  <a:defRPr sz="700" b="0" i="0" u="none" strike="noStrike" baseline="0">
                    <a:solidFill>
                      <a:srgbClr val="333333"/>
                    </a:solidFill>
                    <a:latin typeface="Calibri"/>
                    <a:ea typeface="Calibri"/>
                    <a:cs typeface="Calibri"/>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Grafice12_18!$V$4:$W$4</c:f>
              <c:numCache>
                <c:formatCode>General</c:formatCode>
                <c:ptCount val="2"/>
                <c:pt idx="0">
                  <c:v>2017</c:v>
                </c:pt>
                <c:pt idx="1">
                  <c:v>2018</c:v>
                </c:pt>
              </c:numCache>
            </c:numRef>
          </c:cat>
          <c:val>
            <c:numRef>
              <c:f>Grafice12_18!$V$5:$W$5</c:f>
              <c:numCache>
                <c:formatCode>0.0</c:formatCode>
                <c:ptCount val="2"/>
                <c:pt idx="0">
                  <c:v>3.6797202124197472</c:v>
                </c:pt>
                <c:pt idx="1">
                  <c:v>2.7492677336519118</c:v>
                </c:pt>
              </c:numCache>
            </c:numRef>
          </c:val>
          <c:extLst xmlns:c16r2="http://schemas.microsoft.com/office/drawing/2015/06/chart">
            <c:ext xmlns:c16="http://schemas.microsoft.com/office/drawing/2014/chart" uri="{C3380CC4-5D6E-409C-BE32-E72D297353CC}">
              <c16:uniqueId val="{00000002-1106-4EE5-8D87-63D901451B71}"/>
            </c:ext>
          </c:extLst>
        </c:ser>
        <c:ser>
          <c:idx val="1"/>
          <c:order val="1"/>
          <c:tx>
            <c:strRef>
              <c:f>Grafice12_18!$U$6</c:f>
              <c:strCache>
                <c:ptCount val="1"/>
                <c:pt idx="0">
                  <c:v>Industria prelucrătoare</c:v>
                </c:pt>
              </c:strCache>
            </c:strRef>
          </c:tx>
          <c:spPr>
            <a:solidFill>
              <a:srgbClr val="525FD8"/>
            </a:solidFill>
            <a:ln>
              <a:solidFill>
                <a:schemeClr val="bg1">
                  <a:lumMod val="50000"/>
                </a:schemeClr>
              </a:solidFill>
            </a:ln>
            <a:effectLst/>
          </c:spPr>
          <c:invertIfNegative val="0"/>
          <c:dLbls>
            <c:spPr>
              <a:solidFill>
                <a:schemeClr val="bg1"/>
              </a:solidFill>
              <a:ln>
                <a:solidFill>
                  <a:schemeClr val="bg1">
                    <a:lumMod val="50000"/>
                  </a:schemeClr>
                </a:solidFill>
              </a:ln>
              <a:effectLst/>
            </c:spPr>
            <c:txPr>
              <a:bodyPr/>
              <a:lstStyle/>
              <a:p>
                <a:pPr>
                  <a:defRPr sz="7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Grafice12_18!$V$4:$W$4</c:f>
              <c:numCache>
                <c:formatCode>General</c:formatCode>
                <c:ptCount val="2"/>
                <c:pt idx="0">
                  <c:v>2017</c:v>
                </c:pt>
                <c:pt idx="1">
                  <c:v>2018</c:v>
                </c:pt>
              </c:numCache>
            </c:numRef>
          </c:cat>
          <c:val>
            <c:numRef>
              <c:f>Grafice12_18!$V$6:$W$6</c:f>
              <c:numCache>
                <c:formatCode>0.0</c:formatCode>
                <c:ptCount val="2"/>
                <c:pt idx="0">
                  <c:v>84.277154083382243</c:v>
                </c:pt>
                <c:pt idx="1">
                  <c:v>81.653093150740148</c:v>
                </c:pt>
              </c:numCache>
            </c:numRef>
          </c:val>
          <c:extLst xmlns:c16r2="http://schemas.microsoft.com/office/drawing/2015/06/chart">
            <c:ext xmlns:c16="http://schemas.microsoft.com/office/drawing/2014/chart" uri="{C3380CC4-5D6E-409C-BE32-E72D297353CC}">
              <c16:uniqueId val="{00000003-1106-4EE5-8D87-63D901451B71}"/>
            </c:ext>
          </c:extLst>
        </c:ser>
        <c:ser>
          <c:idx val="2"/>
          <c:order val="2"/>
          <c:tx>
            <c:strRef>
              <c:f>Grafice12_18!$U$7</c:f>
              <c:strCache>
                <c:ptCount val="1"/>
                <c:pt idx="0">
                  <c:v>Producția și furnizarea de energie</c:v>
                </c:pt>
              </c:strCache>
            </c:strRef>
          </c:tx>
          <c:spPr>
            <a:solidFill>
              <a:schemeClr val="tx2">
                <a:lumMod val="20000"/>
                <a:lumOff val="80000"/>
              </a:schemeClr>
            </a:solidFill>
            <a:ln>
              <a:solidFill>
                <a:schemeClr val="bg1">
                  <a:lumMod val="50000"/>
                </a:schemeClr>
              </a:solidFill>
            </a:ln>
            <a:effectLst/>
          </c:spPr>
          <c:invertIfNegative val="0"/>
          <c:dLbls>
            <c:spPr>
              <a:solidFill>
                <a:schemeClr val="bg1"/>
              </a:solidFill>
              <a:ln>
                <a:solidFill>
                  <a:schemeClr val="bg1">
                    <a:lumMod val="50000"/>
                  </a:schemeClr>
                </a:solidFill>
              </a:ln>
              <a:effectLst/>
            </c:spPr>
            <c:txPr>
              <a:bodyPr/>
              <a:lstStyle/>
              <a:p>
                <a:pPr>
                  <a:defRPr sz="7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Grafice12_18!$V$4:$W$4</c:f>
              <c:numCache>
                <c:formatCode>General</c:formatCode>
                <c:ptCount val="2"/>
                <c:pt idx="0">
                  <c:v>2017</c:v>
                </c:pt>
                <c:pt idx="1">
                  <c:v>2018</c:v>
                </c:pt>
              </c:numCache>
            </c:numRef>
          </c:cat>
          <c:val>
            <c:numRef>
              <c:f>Grafice12_18!$V$7:$W$7</c:f>
              <c:numCache>
                <c:formatCode>0.0</c:formatCode>
                <c:ptCount val="2"/>
                <c:pt idx="0">
                  <c:v>12.043125704197998</c:v>
                </c:pt>
                <c:pt idx="1">
                  <c:v>15.597639115607944</c:v>
                </c:pt>
              </c:numCache>
            </c:numRef>
          </c:val>
          <c:extLst xmlns:c16r2="http://schemas.microsoft.com/office/drawing/2015/06/chart">
            <c:ext xmlns:c16="http://schemas.microsoft.com/office/drawing/2014/chart" uri="{C3380CC4-5D6E-409C-BE32-E72D297353CC}">
              <c16:uniqueId val="{00000004-1106-4EE5-8D87-63D901451B71}"/>
            </c:ext>
          </c:extLst>
        </c:ser>
        <c:dLbls>
          <c:showLegendKey val="0"/>
          <c:showVal val="0"/>
          <c:showCatName val="0"/>
          <c:showSerName val="0"/>
          <c:showPercent val="0"/>
          <c:showBubbleSize val="0"/>
        </c:dLbls>
        <c:gapWidth val="150"/>
        <c:overlap val="100"/>
        <c:axId val="687783384"/>
        <c:axId val="687783776"/>
      </c:barChart>
      <c:catAx>
        <c:axId val="687783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700" b="0" i="0" u="none" strike="noStrike" baseline="0">
                <a:solidFill>
                  <a:srgbClr val="333333"/>
                </a:solidFill>
                <a:latin typeface="Calibri"/>
                <a:ea typeface="Calibri"/>
                <a:cs typeface="Calibri"/>
              </a:defRPr>
            </a:pPr>
            <a:endParaRPr lang="en-US"/>
          </a:p>
        </c:txPr>
        <c:crossAx val="687783776"/>
        <c:crosses val="autoZero"/>
        <c:auto val="1"/>
        <c:lblAlgn val="ctr"/>
        <c:lblOffset val="100"/>
        <c:noMultiLvlLbl val="0"/>
      </c:catAx>
      <c:valAx>
        <c:axId val="687783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9525">
            <a:noFill/>
          </a:ln>
        </c:spPr>
        <c:txPr>
          <a:bodyPr rot="0" vert="horz"/>
          <a:lstStyle/>
          <a:p>
            <a:pPr>
              <a:defRPr sz="700" b="0" i="0" u="none" strike="noStrike" baseline="0">
                <a:solidFill>
                  <a:srgbClr val="333333"/>
                </a:solidFill>
                <a:latin typeface="Calibri"/>
                <a:ea typeface="Calibri"/>
                <a:cs typeface="Calibri"/>
              </a:defRPr>
            </a:pPr>
            <a:endParaRPr lang="en-US"/>
          </a:p>
        </c:txPr>
        <c:crossAx val="687783384"/>
        <c:crosses val="autoZero"/>
        <c:crossBetween val="between"/>
      </c:valAx>
      <c:spPr>
        <a:noFill/>
        <a:ln w="25400">
          <a:noFill/>
        </a:ln>
      </c:spPr>
    </c:plotArea>
    <c:legend>
      <c:legendPos val="r"/>
      <c:layout>
        <c:manualLayout>
          <c:xMode val="edge"/>
          <c:yMode val="edge"/>
          <c:x val="0.71690813648293961"/>
          <c:y val="0.19591025855810576"/>
          <c:w val="0.26720734908136484"/>
          <c:h val="0.39763444463059139"/>
        </c:manualLayout>
      </c:layout>
      <c:overlay val="0"/>
      <c:spPr>
        <a:noFill/>
        <a:ln w="25400">
          <a:noFill/>
        </a:ln>
      </c:spPr>
      <c:txPr>
        <a:bodyPr/>
        <a:lstStyle/>
        <a:p>
          <a:pPr>
            <a:defRPr sz="640" b="0" i="0" u="none" strike="noStrike" baseline="0">
              <a:solidFill>
                <a:srgbClr val="333333"/>
              </a:solidFill>
              <a:latin typeface="Calibri"/>
              <a:ea typeface="Calibri"/>
              <a:cs typeface="Calibri"/>
            </a:defRPr>
          </a:pPr>
          <a:endParaRPr lang="en-US"/>
        </a:p>
      </c:txPr>
    </c:legend>
    <c:plotVisOnly val="1"/>
    <c:dispBlanksAs val="gap"/>
    <c:showDLblsOverMax val="0"/>
  </c:chart>
  <c:spPr>
    <a:solidFill>
      <a:schemeClr val="bg1"/>
    </a:solidFill>
    <a:ln w="9525" cap="flat" cmpd="sng" algn="ctr">
      <a:noFill/>
      <a:round/>
    </a:ln>
    <a:effectLst/>
  </c:spPr>
  <c:txPr>
    <a:bodyPr/>
    <a:lstStyle/>
    <a:p>
      <a:pPr>
        <a:defRPr sz="7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en-US" sz="800" b="1" i="0" u="none" strike="noStrike" baseline="0">
                <a:solidFill>
                  <a:srgbClr val="333333"/>
                </a:solidFill>
                <a:latin typeface="Calibri"/>
              </a:rPr>
              <a:t>Figura 3. Principalele ramuri care au influențat evoluția industriei în</a:t>
            </a:r>
            <a:r>
              <a:rPr lang="ro-RO" sz="800" b="1" i="0" u="none" strike="noStrike" baseline="0">
                <a:solidFill>
                  <a:srgbClr val="333333"/>
                </a:solidFill>
                <a:latin typeface="Calibri"/>
              </a:rPr>
              <a:t> anul </a:t>
            </a:r>
            <a:r>
              <a:rPr lang="en-US" sz="800" b="1" i="0" u="none" strike="noStrike" baseline="0">
                <a:solidFill>
                  <a:srgbClr val="333333"/>
                </a:solidFill>
                <a:latin typeface="Calibri"/>
              </a:rPr>
              <a:t>2018, p.p.</a:t>
            </a:r>
            <a:endParaRPr lang="en-US" sz="800" b="0" i="0" u="none" strike="noStrike" baseline="0">
              <a:solidFill>
                <a:srgbClr val="333333"/>
              </a:solidFill>
              <a:latin typeface="Calibri"/>
            </a:endParaRPr>
          </a:p>
          <a:p>
            <a:pPr>
              <a:defRPr sz="1000" b="0" i="0" u="none" strike="noStrike" baseline="0">
                <a:solidFill>
                  <a:srgbClr val="000000"/>
                </a:solidFill>
                <a:latin typeface="Calibri"/>
                <a:ea typeface="Calibri"/>
                <a:cs typeface="Calibri"/>
              </a:defRPr>
            </a:pPr>
            <a:r>
              <a:rPr lang="en-US" sz="800" b="1" i="0" u="none" strike="noStrike" baseline="0">
                <a:solidFill>
                  <a:srgbClr val="333333"/>
                </a:solidFill>
                <a:latin typeface="Calibri"/>
              </a:rPr>
              <a:t> </a:t>
            </a:r>
            <a:r>
              <a:rPr lang="en-US" sz="800" b="0" i="1" u="none" strike="noStrike" baseline="0">
                <a:solidFill>
                  <a:srgbClr val="333333"/>
                </a:solidFill>
                <a:latin typeface="Calibri"/>
              </a:rPr>
              <a:t>(+ influență pozitivă; - influență negativă)</a:t>
            </a:r>
          </a:p>
        </c:rich>
      </c:tx>
      <c:layout>
        <c:manualLayout>
          <c:xMode val="edge"/>
          <c:yMode val="edge"/>
          <c:x val="0.15948995603556737"/>
          <c:y val="1.9847631405624861E-2"/>
        </c:manualLayout>
      </c:layout>
      <c:overlay val="0"/>
      <c:spPr>
        <a:noFill/>
        <a:ln w="25400">
          <a:noFill/>
        </a:ln>
      </c:spPr>
    </c:title>
    <c:autoTitleDeleted val="0"/>
    <c:plotArea>
      <c:layout>
        <c:manualLayout>
          <c:layoutTarget val="inner"/>
          <c:xMode val="edge"/>
          <c:yMode val="edge"/>
          <c:x val="0.4291383257943821"/>
          <c:y val="0.13677218378005782"/>
          <c:w val="0.53912994918188417"/>
          <c:h val="0.84492262069421609"/>
        </c:manualLayout>
      </c:layout>
      <c:barChart>
        <c:barDir val="bar"/>
        <c:grouping val="clustered"/>
        <c:varyColors val="0"/>
        <c:ser>
          <c:idx val="0"/>
          <c:order val="0"/>
          <c:spPr>
            <a:solidFill>
              <a:srgbClr val="4F81BD"/>
            </a:solidFill>
            <a:ln w="25400">
              <a:noFill/>
            </a:ln>
          </c:spPr>
          <c:invertIfNegative val="0"/>
          <c:dLbls>
            <c:dLbl>
              <c:idx val="20"/>
              <c:layout>
                <c:manualLayout>
                  <c:x val="-1.3253393027660806E-2"/>
                  <c:y val="4.6454370205692086E-7"/>
                </c:manualLayout>
              </c:layout>
              <c:spPr>
                <a:noFill/>
                <a:ln w="25400">
                  <a:noFill/>
                </a:ln>
              </c:spPr>
              <c:txPr>
                <a:bodyPr/>
                <a:lstStyle/>
                <a:p>
                  <a:pPr>
                    <a:defRPr sz="700" b="0" i="0" u="none" strike="noStrike" baseline="0">
                      <a:solidFill>
                        <a:srgbClr val="333333"/>
                      </a:solidFill>
                      <a:latin typeface="Calibri"/>
                      <a:ea typeface="Calibri"/>
                      <a:cs typeface="Calibri"/>
                    </a:defRPr>
                  </a:pPr>
                  <a:endParaRPr lang="en-US"/>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CA7-4803-B23C-842647C05979}"/>
                </c:ext>
                <c:ext xmlns:c15="http://schemas.microsoft.com/office/drawing/2012/chart" uri="{CE6537A1-D6FC-4f65-9D91-7224C49458BB}"/>
              </c:extLst>
            </c:dLbl>
            <c:spPr>
              <a:noFill/>
              <a:ln w="25400">
                <a:noFill/>
              </a:ln>
            </c:spPr>
            <c:txPr>
              <a:bodyPr wrap="square" lIns="38100" tIns="19050" rIns="38100" bIns="19050" anchor="ctr">
                <a:spAutoFit/>
              </a:bodyPr>
              <a:lstStyle/>
              <a:p>
                <a:pPr>
                  <a:defRPr sz="700" b="0" i="0" u="none" strike="noStrike" baseline="0">
                    <a:solidFill>
                      <a:srgbClr val="333333"/>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Grafice12_18!$A$78:$A$100</c:f>
              <c:strCache>
                <c:ptCount val="23"/>
                <c:pt idx="0">
                  <c:v>Productia si furnizarea de energie</c:v>
                </c:pt>
                <c:pt idx="1">
                  <c:v>Piese pentru autovehicule si motoare</c:v>
                </c:pt>
                <c:pt idx="2">
                  <c:v>Prelucrarea si conservarea carnii</c:v>
                </c:pt>
                <c:pt idx="3">
                  <c:v>Fabricarea de fire si cabluri</c:v>
                </c:pt>
                <c:pt idx="4">
                  <c:v>Fabricarea sticlei si a articolelor din sticla</c:v>
                </c:pt>
                <c:pt idx="5">
                  <c:v>Fabricarea bauturilor</c:v>
                </c:pt>
                <c:pt idx="6">
                  <c:v>Fabricarea articolelor de imbracaminte</c:v>
                </c:pt>
                <c:pt idx="7">
                  <c:v>Tabacirea si finisarea pieilor, fabricarea articolelor de voiaj </c:v>
                </c:pt>
                <c:pt idx="8">
                  <c:v>Fabricarea de mobila</c:v>
                </c:pt>
                <c:pt idx="9">
                  <c:v>Industria extractivă</c:v>
                </c:pt>
                <c:pt idx="10">
                  <c:v>Fabricarea altor articole textile</c:v>
                </c:pt>
                <c:pt idx="11">
                  <c:v>Fabricarea altor produse din minerale nemetalice</c:v>
                </c:pt>
                <c:pt idx="12">
                  <c:v>Prelucrarea si conservarea pestelui</c:v>
                </c:pt>
                <c:pt idx="13">
                  <c:v>Fabricarea articolelor din beton, ciment si ipsos</c:v>
                </c:pt>
                <c:pt idx="14">
                  <c:v>Fabricarea produselor de brutarie</c:v>
                </c:pt>
                <c:pt idx="15">
                  <c:v>Fabricarea articolelor din hartie si carton</c:v>
                </c:pt>
                <c:pt idx="17">
                  <c:v>Fabricarea articolelor din material plastic</c:v>
                </c:pt>
                <c:pt idx="18">
                  <c:v>Fabricarea produselor farmaceutice de baza si a preparatelor farmaceutice</c:v>
                </c:pt>
                <c:pt idx="19">
                  <c:v>Prelucrarea si conservarea fructelor si legumelor</c:v>
                </c:pt>
                <c:pt idx="20">
                  <c:v>Fabricarea produselor lactate</c:v>
                </c:pt>
                <c:pt idx="21">
                  <c:v>Fabricarea de masini si utilaje de utilizare generala</c:v>
                </c:pt>
                <c:pt idx="22">
                  <c:v>Alte produse alimentare (în special fabricarea zaharului)</c:v>
                </c:pt>
              </c:strCache>
            </c:strRef>
          </c:cat>
          <c:val>
            <c:numRef>
              <c:f>Grafice12_18!$D$78:$D$100</c:f>
              <c:numCache>
                <c:formatCode>0.0</c:formatCode>
                <c:ptCount val="23"/>
                <c:pt idx="0">
                  <c:v>1.1948378321234523</c:v>
                </c:pt>
                <c:pt idx="1">
                  <c:v>0.89982617000154397</c:v>
                </c:pt>
                <c:pt idx="2">
                  <c:v>0.59476527635848719</c:v>
                </c:pt>
                <c:pt idx="3">
                  <c:v>0.52483992836614091</c:v>
                </c:pt>
                <c:pt idx="4">
                  <c:v>0.4458917073869621</c:v>
                </c:pt>
                <c:pt idx="5">
                  <c:v>0.3770506244417422</c:v>
                </c:pt>
                <c:pt idx="6">
                  <c:v>0.36601514802206397</c:v>
                </c:pt>
                <c:pt idx="7">
                  <c:v>0.26816263382567557</c:v>
                </c:pt>
                <c:pt idx="8">
                  <c:v>0.25380233833977955</c:v>
                </c:pt>
                <c:pt idx="9">
                  <c:v>0.24808924440599556</c:v>
                </c:pt>
                <c:pt idx="10">
                  <c:v>0.24196220199478427</c:v>
                </c:pt>
                <c:pt idx="11">
                  <c:v>0.21821069046706471</c:v>
                </c:pt>
                <c:pt idx="12">
                  <c:v>0.2064039437340085</c:v>
                </c:pt>
                <c:pt idx="13">
                  <c:v>0.1866937898110671</c:v>
                </c:pt>
                <c:pt idx="14">
                  <c:v>0.17836908694402137</c:v>
                </c:pt>
                <c:pt idx="15">
                  <c:v>0.15510153727909012</c:v>
                </c:pt>
                <c:pt idx="17">
                  <c:v>-0.1501345587762673</c:v>
                </c:pt>
                <c:pt idx="18">
                  <c:v>-0.30285839907476414</c:v>
                </c:pt>
                <c:pt idx="19">
                  <c:v>-0.33699485930658846</c:v>
                </c:pt>
                <c:pt idx="20">
                  <c:v>-0.35154603537501927</c:v>
                </c:pt>
                <c:pt idx="21">
                  <c:v>-0.80320758596503794</c:v>
                </c:pt>
                <c:pt idx="22">
                  <c:v>-1.0303929933784175</c:v>
                </c:pt>
              </c:numCache>
            </c:numRef>
          </c:val>
          <c:extLst xmlns:c16r2="http://schemas.microsoft.com/office/drawing/2015/06/chart">
            <c:ext xmlns:c16="http://schemas.microsoft.com/office/drawing/2014/chart" uri="{C3380CC4-5D6E-409C-BE32-E72D297353CC}">
              <c16:uniqueId val="{00000001-8CA7-4803-B23C-842647C05979}"/>
            </c:ext>
          </c:extLst>
        </c:ser>
        <c:dLbls>
          <c:showLegendKey val="0"/>
          <c:showVal val="0"/>
          <c:showCatName val="0"/>
          <c:showSerName val="0"/>
          <c:showPercent val="0"/>
          <c:showBubbleSize val="0"/>
        </c:dLbls>
        <c:gapWidth val="182"/>
        <c:axId val="665775408"/>
        <c:axId val="665775016"/>
      </c:barChart>
      <c:catAx>
        <c:axId val="665775408"/>
        <c:scaling>
          <c:orientation val="maxMin"/>
        </c:scaling>
        <c:delete val="0"/>
        <c:axPos val="l"/>
        <c:numFmt formatCode="General" sourceLinked="1"/>
        <c:majorTickMark val="none"/>
        <c:minorTickMark val="none"/>
        <c:tickLblPos val="low"/>
        <c:spPr>
          <a:noFill/>
          <a:ln w="15875" cap="flat" cmpd="sng" algn="ctr">
            <a:solidFill>
              <a:schemeClr val="bg1">
                <a:lumMod val="50000"/>
              </a:schemeClr>
            </a:solidFill>
            <a:round/>
          </a:ln>
          <a:effectLst/>
        </c:spPr>
        <c:txPr>
          <a:bodyPr rot="0" vert="horz"/>
          <a:lstStyle/>
          <a:p>
            <a:pPr>
              <a:defRPr sz="700" b="0" i="0" u="none" strike="noStrike" baseline="0">
                <a:solidFill>
                  <a:srgbClr val="333333"/>
                </a:solidFill>
                <a:latin typeface="Calibri"/>
                <a:ea typeface="Calibri"/>
                <a:cs typeface="Calibri"/>
              </a:defRPr>
            </a:pPr>
            <a:endParaRPr lang="en-US"/>
          </a:p>
        </c:txPr>
        <c:crossAx val="665775016"/>
        <c:crosses val="autoZero"/>
        <c:auto val="1"/>
        <c:lblAlgn val="ctr"/>
        <c:lblOffset val="100"/>
        <c:noMultiLvlLbl val="0"/>
      </c:catAx>
      <c:valAx>
        <c:axId val="665775016"/>
        <c:scaling>
          <c:orientation val="minMax"/>
          <c:max val="1.2"/>
          <c:min val="-1.2"/>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9525">
            <a:noFill/>
          </a:ln>
        </c:spPr>
        <c:txPr>
          <a:bodyPr rot="0" vert="horz"/>
          <a:lstStyle/>
          <a:p>
            <a:pPr>
              <a:defRPr sz="700" b="0" i="0" u="none" strike="noStrike" baseline="0">
                <a:solidFill>
                  <a:srgbClr val="333333"/>
                </a:solidFill>
                <a:latin typeface="Calibri"/>
                <a:ea typeface="Calibri"/>
                <a:cs typeface="Calibri"/>
              </a:defRPr>
            </a:pPr>
            <a:endParaRPr lang="en-US"/>
          </a:p>
        </c:txPr>
        <c:crossAx val="665775408"/>
        <c:crosses val="autoZero"/>
        <c:crossBetween val="between"/>
        <c:majorUnit val="0.4"/>
      </c:valAx>
      <c:spPr>
        <a:noFill/>
        <a:ln w="25400">
          <a:noFill/>
        </a:ln>
      </c:spPr>
    </c:plotArea>
    <c:plotVisOnly val="1"/>
    <c:dispBlanksAs val="gap"/>
    <c:showDLblsOverMax val="0"/>
  </c:chart>
  <c:spPr>
    <a:solidFill>
      <a:schemeClr val="bg1"/>
    </a:solidFill>
    <a:ln w="9525" cap="flat" cmpd="sng" algn="ctr">
      <a:solidFill>
        <a:schemeClr val="bg1">
          <a:lumMod val="50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'I-XII 2018'!$A$43</c:f>
              <c:strCache>
                <c:ptCount val="1"/>
                <c:pt idx="0">
                  <c:v>Investiţii în active imobilizate, total</c:v>
                </c:pt>
              </c:strCache>
            </c:strRef>
          </c:tx>
          <c:spPr>
            <a:ln w="31750" cap="rnd">
              <a:solidFill>
                <a:schemeClr val="accent1"/>
              </a:solidFill>
              <a:round/>
            </a:ln>
            <a:effectLst/>
          </c:spPr>
          <c:marker>
            <c:symbol val="none"/>
          </c:marker>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multiLvlStrRef>
              <c:f>'I-XII 2018'!$F$41:$M$42</c:f>
              <c:multiLvlStrCache>
                <c:ptCount val="8"/>
                <c:lvl>
                  <c:pt idx="0">
                    <c:v>Trim. I</c:v>
                  </c:pt>
                  <c:pt idx="1">
                    <c:v>Trim. II</c:v>
                  </c:pt>
                  <c:pt idx="2">
                    <c:v>Trim III</c:v>
                  </c:pt>
                  <c:pt idx="3">
                    <c:v>Trim. IV</c:v>
                  </c:pt>
                  <c:pt idx="4">
                    <c:v>Trim. I</c:v>
                  </c:pt>
                  <c:pt idx="5">
                    <c:v>Trim. II</c:v>
                  </c:pt>
                  <c:pt idx="6">
                    <c:v>Trim III</c:v>
                  </c:pt>
                  <c:pt idx="7">
                    <c:v>Trim. IV</c:v>
                  </c:pt>
                </c:lvl>
                <c:lvl>
                  <c:pt idx="0">
                    <c:v>2017</c:v>
                  </c:pt>
                  <c:pt idx="1">
                    <c:v>2017</c:v>
                  </c:pt>
                  <c:pt idx="2">
                    <c:v>2017</c:v>
                  </c:pt>
                  <c:pt idx="3">
                    <c:v>2017</c:v>
                  </c:pt>
                  <c:pt idx="4">
                    <c:v>2018</c:v>
                  </c:pt>
                  <c:pt idx="5">
                    <c:v>2018</c:v>
                  </c:pt>
                  <c:pt idx="6">
                    <c:v>2018</c:v>
                  </c:pt>
                  <c:pt idx="7">
                    <c:v>2018</c:v>
                  </c:pt>
                </c:lvl>
              </c:multiLvlStrCache>
            </c:multiLvlStrRef>
          </c:cat>
          <c:val>
            <c:numRef>
              <c:f>'I-XII 2018'!$F$43:$M$43</c:f>
              <c:numCache>
                <c:formatCode>0.0</c:formatCode>
                <c:ptCount val="8"/>
                <c:pt idx="0">
                  <c:v>-1.1531695151314523</c:v>
                </c:pt>
                <c:pt idx="1">
                  <c:v>4.6959180888275256</c:v>
                </c:pt>
                <c:pt idx="2">
                  <c:v>2.6424428617649198</c:v>
                </c:pt>
                <c:pt idx="3">
                  <c:v>-0.10794475825268535</c:v>
                </c:pt>
                <c:pt idx="4">
                  <c:v>2.884131774903949</c:v>
                </c:pt>
                <c:pt idx="5">
                  <c:v>10.136387198785286</c:v>
                </c:pt>
                <c:pt idx="6">
                  <c:v>21.021624012461615</c:v>
                </c:pt>
                <c:pt idx="7">
                  <c:v>10.741682763176712</c:v>
                </c:pt>
              </c:numCache>
            </c:numRef>
          </c:val>
          <c:smooth val="1"/>
          <c:extLst xmlns:c16r2="http://schemas.microsoft.com/office/drawing/2015/06/chart">
            <c:ext xmlns:c16="http://schemas.microsoft.com/office/drawing/2014/chart" uri="{C3380CC4-5D6E-409C-BE32-E72D297353CC}">
              <c16:uniqueId val="{00000000-1462-4C8F-A439-4AD84D77AEB9}"/>
            </c:ext>
          </c:extLst>
        </c:ser>
        <c:ser>
          <c:idx val="1"/>
          <c:order val="1"/>
          <c:tx>
            <c:strRef>
              <c:f>'I-XII 2018'!$A$44</c:f>
              <c:strCache>
                <c:ptCount val="1"/>
                <c:pt idx="0">
                  <c:v>Investitii publice</c:v>
                </c:pt>
              </c:strCache>
            </c:strRef>
          </c:tx>
          <c:spPr>
            <a:ln w="28575" cap="rnd">
              <a:solidFill>
                <a:schemeClr val="tx2"/>
              </a:solidFill>
              <a:prstDash val="dash"/>
              <a:round/>
            </a:ln>
            <a:effectLst/>
          </c:spPr>
          <c:marker>
            <c:symbol val="none"/>
          </c:marker>
          <c:cat>
            <c:multiLvlStrRef>
              <c:f>'I-XII 2018'!$F$41:$M$42</c:f>
              <c:multiLvlStrCache>
                <c:ptCount val="8"/>
                <c:lvl>
                  <c:pt idx="0">
                    <c:v>Trim. I</c:v>
                  </c:pt>
                  <c:pt idx="1">
                    <c:v>Trim. II</c:v>
                  </c:pt>
                  <c:pt idx="2">
                    <c:v>Trim III</c:v>
                  </c:pt>
                  <c:pt idx="3">
                    <c:v>Trim. IV</c:v>
                  </c:pt>
                  <c:pt idx="4">
                    <c:v>Trim. I</c:v>
                  </c:pt>
                  <c:pt idx="5">
                    <c:v>Trim. II</c:v>
                  </c:pt>
                  <c:pt idx="6">
                    <c:v>Trim III</c:v>
                  </c:pt>
                  <c:pt idx="7">
                    <c:v>Trim. IV</c:v>
                  </c:pt>
                </c:lvl>
                <c:lvl>
                  <c:pt idx="0">
                    <c:v>2017</c:v>
                  </c:pt>
                  <c:pt idx="1">
                    <c:v>2017</c:v>
                  </c:pt>
                  <c:pt idx="2">
                    <c:v>2017</c:v>
                  </c:pt>
                  <c:pt idx="3">
                    <c:v>2017</c:v>
                  </c:pt>
                  <c:pt idx="4">
                    <c:v>2018</c:v>
                  </c:pt>
                  <c:pt idx="5">
                    <c:v>2018</c:v>
                  </c:pt>
                  <c:pt idx="6">
                    <c:v>2018</c:v>
                  </c:pt>
                  <c:pt idx="7">
                    <c:v>2018</c:v>
                  </c:pt>
                </c:lvl>
              </c:multiLvlStrCache>
            </c:multiLvlStrRef>
          </c:cat>
          <c:val>
            <c:numRef>
              <c:f>'I-XII 2018'!$F$44:$M$44</c:f>
              <c:numCache>
                <c:formatCode>0.0</c:formatCode>
                <c:ptCount val="8"/>
                <c:pt idx="0">
                  <c:v>49.171492577370742</c:v>
                </c:pt>
                <c:pt idx="1">
                  <c:v>40.502781147649557</c:v>
                </c:pt>
                <c:pt idx="2">
                  <c:v>20.701169613184007</c:v>
                </c:pt>
                <c:pt idx="3">
                  <c:v>30.043857148578354</c:v>
                </c:pt>
                <c:pt idx="4">
                  <c:v>17.74177492027529</c:v>
                </c:pt>
                <c:pt idx="5">
                  <c:v>66.376061635921133</c:v>
                </c:pt>
                <c:pt idx="6">
                  <c:v>113.53441203107394</c:v>
                </c:pt>
                <c:pt idx="7">
                  <c:v>39.303599490064045</c:v>
                </c:pt>
              </c:numCache>
            </c:numRef>
          </c:val>
          <c:smooth val="1"/>
          <c:extLst xmlns:c16r2="http://schemas.microsoft.com/office/drawing/2015/06/chart">
            <c:ext xmlns:c16="http://schemas.microsoft.com/office/drawing/2014/chart" uri="{C3380CC4-5D6E-409C-BE32-E72D297353CC}">
              <c16:uniqueId val="{00000001-1462-4C8F-A439-4AD84D77AEB9}"/>
            </c:ext>
          </c:extLst>
        </c:ser>
        <c:ser>
          <c:idx val="2"/>
          <c:order val="2"/>
          <c:tx>
            <c:strRef>
              <c:f>'I-XII 2018'!$A$45</c:f>
              <c:strCache>
                <c:ptCount val="1"/>
                <c:pt idx="0">
                  <c:v>Investitii din surse proprii ale agenților economici </c:v>
                </c:pt>
              </c:strCache>
            </c:strRef>
          </c:tx>
          <c:spPr>
            <a:ln w="34925" cap="rnd">
              <a:solidFill>
                <a:schemeClr val="tx2"/>
              </a:solidFill>
              <a:prstDash val="sysDot"/>
              <a:round/>
            </a:ln>
            <a:effectLst/>
          </c:spPr>
          <c:marker>
            <c:symbol val="none"/>
          </c:marker>
          <c:cat>
            <c:multiLvlStrRef>
              <c:f>'I-XII 2018'!$F$41:$M$42</c:f>
              <c:multiLvlStrCache>
                <c:ptCount val="8"/>
                <c:lvl>
                  <c:pt idx="0">
                    <c:v>Trim. I</c:v>
                  </c:pt>
                  <c:pt idx="1">
                    <c:v>Trim. II</c:v>
                  </c:pt>
                  <c:pt idx="2">
                    <c:v>Trim III</c:v>
                  </c:pt>
                  <c:pt idx="3">
                    <c:v>Trim. IV</c:v>
                  </c:pt>
                  <c:pt idx="4">
                    <c:v>Trim. I</c:v>
                  </c:pt>
                  <c:pt idx="5">
                    <c:v>Trim. II</c:v>
                  </c:pt>
                  <c:pt idx="6">
                    <c:v>Trim III</c:v>
                  </c:pt>
                  <c:pt idx="7">
                    <c:v>Trim. IV</c:v>
                  </c:pt>
                </c:lvl>
                <c:lvl>
                  <c:pt idx="0">
                    <c:v>2017</c:v>
                  </c:pt>
                  <c:pt idx="1">
                    <c:v>2017</c:v>
                  </c:pt>
                  <c:pt idx="2">
                    <c:v>2017</c:v>
                  </c:pt>
                  <c:pt idx="3">
                    <c:v>2017</c:v>
                  </c:pt>
                  <c:pt idx="4">
                    <c:v>2018</c:v>
                  </c:pt>
                  <c:pt idx="5">
                    <c:v>2018</c:v>
                  </c:pt>
                  <c:pt idx="6">
                    <c:v>2018</c:v>
                  </c:pt>
                  <c:pt idx="7">
                    <c:v>2018</c:v>
                  </c:pt>
                </c:lvl>
              </c:multiLvlStrCache>
            </c:multiLvlStrRef>
          </c:cat>
          <c:val>
            <c:numRef>
              <c:f>'I-XII 2018'!$F$45:$M$45</c:f>
              <c:numCache>
                <c:formatCode>0.0</c:formatCode>
                <c:ptCount val="8"/>
                <c:pt idx="0">
                  <c:v>-4.6763801144596755</c:v>
                </c:pt>
                <c:pt idx="1">
                  <c:v>-3.0275698952597736</c:v>
                </c:pt>
                <c:pt idx="2">
                  <c:v>7.401306634858912</c:v>
                </c:pt>
                <c:pt idx="3">
                  <c:v>-7.9888619641860856</c:v>
                </c:pt>
                <c:pt idx="4">
                  <c:v>5.071192264037407</c:v>
                </c:pt>
                <c:pt idx="5">
                  <c:v>1.4463776614659167</c:v>
                </c:pt>
                <c:pt idx="6">
                  <c:v>0.55672757635770154</c:v>
                </c:pt>
                <c:pt idx="7">
                  <c:v>3.4407089770480042</c:v>
                </c:pt>
              </c:numCache>
            </c:numRef>
          </c:val>
          <c:smooth val="1"/>
          <c:extLst xmlns:c16r2="http://schemas.microsoft.com/office/drawing/2015/06/chart">
            <c:ext xmlns:c16="http://schemas.microsoft.com/office/drawing/2014/chart" uri="{C3380CC4-5D6E-409C-BE32-E72D297353CC}">
              <c16:uniqueId val="{00000002-1462-4C8F-A439-4AD84D77AEB9}"/>
            </c:ext>
          </c:extLst>
        </c:ser>
        <c:dLbls>
          <c:showLegendKey val="0"/>
          <c:showVal val="0"/>
          <c:showCatName val="0"/>
          <c:showSerName val="0"/>
          <c:showPercent val="0"/>
          <c:showBubbleSize val="0"/>
        </c:dLbls>
        <c:smooth val="0"/>
        <c:axId val="665773056"/>
        <c:axId val="665774232"/>
      </c:lineChart>
      <c:catAx>
        <c:axId val="665773056"/>
        <c:scaling>
          <c:orientation val="minMax"/>
        </c:scaling>
        <c:delete val="0"/>
        <c:axPos val="b"/>
        <c:numFmt formatCode="General" sourceLinked="1"/>
        <c:majorTickMark val="none"/>
        <c:minorTickMark val="none"/>
        <c:tickLblPos val="low"/>
        <c:spPr>
          <a:noFill/>
          <a:ln w="12700" cap="flat" cmpd="sng" algn="ctr">
            <a:solidFill>
              <a:schemeClr val="bg1">
                <a:lumMod val="50000"/>
              </a:schemeClr>
            </a:solidFill>
            <a:round/>
          </a:ln>
          <a:effectLst/>
        </c:spPr>
        <c:txPr>
          <a:bodyPr rot="-60000000" vert="horz"/>
          <a:lstStyle/>
          <a:p>
            <a:pPr>
              <a:defRPr/>
            </a:pPr>
            <a:endParaRPr lang="en-US"/>
          </a:p>
        </c:txPr>
        <c:crossAx val="665774232"/>
        <c:crosses val="autoZero"/>
        <c:auto val="1"/>
        <c:lblAlgn val="ctr"/>
        <c:lblOffset val="100"/>
        <c:noMultiLvlLbl val="0"/>
      </c:catAx>
      <c:valAx>
        <c:axId val="665774232"/>
        <c:scaling>
          <c:orientation val="minMax"/>
          <c:max val="115"/>
          <c:min val="-1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ln w="9525">
            <a:noFill/>
          </a:ln>
        </c:spPr>
        <c:txPr>
          <a:bodyPr rot="-60000000" vert="horz"/>
          <a:lstStyle/>
          <a:p>
            <a:pPr>
              <a:defRPr/>
            </a:pPr>
            <a:endParaRPr lang="en-US"/>
          </a:p>
        </c:txPr>
        <c:crossAx val="665773056"/>
        <c:crosses val="autoZero"/>
        <c:crossBetween val="between"/>
      </c:valAx>
      <c:spPr>
        <a:noFill/>
        <a:ln w="25400">
          <a:noFill/>
        </a:ln>
      </c:spPr>
    </c:plotArea>
    <c:legend>
      <c:legendPos val="b"/>
      <c:layout>
        <c:manualLayout>
          <c:xMode val="edge"/>
          <c:yMode val="edge"/>
          <c:x val="5.7927602799650042E-2"/>
          <c:y val="0.82291557305336838"/>
          <c:w val="0.92858923884514444"/>
          <c:h val="0.14930664916885394"/>
        </c:manualLayout>
      </c:layout>
      <c:overlay val="0"/>
      <c:spPr>
        <a:noFill/>
        <a:ln w="25400">
          <a:noFill/>
        </a:ln>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sz="700"/>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stacked"/>
        <c:varyColors val="0"/>
        <c:ser>
          <c:idx val="0"/>
          <c:order val="0"/>
          <c:tx>
            <c:strRef>
              <c:f>'I-XII 2018'!$Q$8</c:f>
              <c:strCache>
                <c:ptCount val="1"/>
                <c:pt idx="0">
                  <c:v>Investitii publice</c:v>
                </c:pt>
              </c:strCache>
            </c:strRef>
          </c:tx>
          <c:spPr>
            <a:solidFill>
              <a:schemeClr val="accent1">
                <a:shade val="65000"/>
              </a:schemeClr>
            </a:solidFill>
            <a:ln>
              <a:noFill/>
            </a:ln>
            <a:effectLst/>
          </c:spPr>
          <c:invertIfNegative val="0"/>
          <c:dLbls>
            <c:dLbl>
              <c:idx val="0"/>
              <c:layout>
                <c:manualLayout>
                  <c:x val="1.8916170174569146E-3"/>
                  <c:y val="1.2031681880472905E-3"/>
                </c:manualLayout>
              </c:layout>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1"/>
              <c:showPercent val="0"/>
              <c:showBubbleSize val="0"/>
              <c:separator> </c:separator>
              <c:extLst xmlns:c16r2="http://schemas.microsoft.com/office/drawing/2015/06/chart">
                <c:ext xmlns:c16="http://schemas.microsoft.com/office/drawing/2014/chart" uri="{C3380CC4-5D6E-409C-BE32-E72D297353CC}">
                  <c16:uniqueId val="{00000000-E3AC-4ED7-BFB4-3F06F286FDE2}"/>
                </c:ext>
                <c:ext xmlns:c15="http://schemas.microsoft.com/office/drawing/2012/chart" uri="{CE6537A1-D6FC-4f65-9D91-7224C49458BB}"/>
              </c:extLst>
            </c:dLbl>
            <c:dLbl>
              <c:idx val="1"/>
              <c:layout>
                <c:manualLayout>
                  <c:x val="-3.786411443117906E-3"/>
                  <c:y val="7.8136250667781566E-4"/>
                </c:manualLayout>
              </c:layout>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1"/>
              <c:showPercent val="0"/>
              <c:showBubbleSize val="0"/>
              <c:separator> </c:separator>
              <c:extLst xmlns:c16r2="http://schemas.microsoft.com/office/drawing/2015/06/chart">
                <c:ext xmlns:c16="http://schemas.microsoft.com/office/drawing/2014/chart" uri="{C3380CC4-5D6E-409C-BE32-E72D297353CC}">
                  <c16:uniqueId val="{00000000-2ECC-411A-88A0-7634535BAB9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1"/>
            <c:showPercent val="0"/>
            <c:showBubbleSize val="0"/>
            <c:separator> </c:separator>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'I-XII 2018'!$AB$5:$AC$6</c:f>
              <c:strCache>
                <c:ptCount val="2"/>
                <c:pt idx="0">
                  <c:v>2017</c:v>
                </c:pt>
                <c:pt idx="1">
                  <c:v>2018</c:v>
                </c:pt>
              </c:strCache>
            </c:strRef>
          </c:cat>
          <c:val>
            <c:numRef>
              <c:f>'I-XII 2018'!$AB$8:$AC$8</c:f>
              <c:numCache>
                <c:formatCode>0.0</c:formatCode>
                <c:ptCount val="2"/>
                <c:pt idx="0">
                  <c:v>2695.2529461000004</c:v>
                </c:pt>
                <c:pt idx="1">
                  <c:v>4229.4777999999997</c:v>
                </c:pt>
              </c:numCache>
            </c:numRef>
          </c:val>
          <c:extLst xmlns:c16r2="http://schemas.microsoft.com/office/drawing/2015/06/chart">
            <c:ext xmlns:c16="http://schemas.microsoft.com/office/drawing/2014/chart" uri="{C3380CC4-5D6E-409C-BE32-E72D297353CC}">
              <c16:uniqueId val="{00000002-E3AC-4ED7-BFB4-3F06F286FDE2}"/>
            </c:ext>
          </c:extLst>
        </c:ser>
        <c:ser>
          <c:idx val="1"/>
          <c:order val="1"/>
          <c:tx>
            <c:strRef>
              <c:f>'I-XII 2018'!$Q$9</c:f>
              <c:strCache>
                <c:ptCount val="1"/>
                <c:pt idx="0">
                  <c:v>Investitii private </c:v>
                </c:pt>
              </c:strCache>
            </c:strRef>
          </c:tx>
          <c:spPr>
            <a:solidFill>
              <a:schemeClr val="accent1"/>
            </a:solidFill>
            <a:ln>
              <a:noFill/>
            </a:ln>
            <a:effectLst/>
          </c:spPr>
          <c:invertIfNegative val="0"/>
          <c:dLbls>
            <c:dLbl>
              <c:idx val="1"/>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03-E3AC-4ED7-BFB4-3F06F286FDE2}"/>
                </c:ext>
                <c:ext xmlns:c15="http://schemas.microsoft.com/office/drawing/2012/chart" uri="{CE6537A1-D6FC-4f65-9D91-7224C49458BB}"/>
              </c:extLst>
            </c:dLbl>
            <c:spPr>
              <a:solidFill>
                <a:schemeClr val="bg1"/>
              </a:solidFill>
              <a:ln>
                <a:solidFill>
                  <a:schemeClr val="bg1">
                    <a:lumMod val="50000"/>
                  </a:schemeClr>
                </a:solid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strRef>
              <c:f>'I-XII 2018'!$AB$5:$AC$6</c:f>
              <c:strCache>
                <c:ptCount val="2"/>
                <c:pt idx="0">
                  <c:v>2017</c:v>
                </c:pt>
                <c:pt idx="1">
                  <c:v>2018</c:v>
                </c:pt>
              </c:strCache>
            </c:strRef>
          </c:cat>
          <c:val>
            <c:numRef>
              <c:f>'I-XII 2018'!$AB$9:$AC$9</c:f>
              <c:numCache>
                <c:formatCode>0.0</c:formatCode>
                <c:ptCount val="2"/>
                <c:pt idx="0">
                  <c:v>14140.454900000002</c:v>
                </c:pt>
                <c:pt idx="1">
                  <c:v>14510.039500000001</c:v>
                </c:pt>
              </c:numCache>
            </c:numRef>
          </c:val>
          <c:extLst xmlns:c16r2="http://schemas.microsoft.com/office/drawing/2015/06/chart">
            <c:ext xmlns:c16="http://schemas.microsoft.com/office/drawing/2014/chart" uri="{C3380CC4-5D6E-409C-BE32-E72D297353CC}">
              <c16:uniqueId val="{00000004-E3AC-4ED7-BFB4-3F06F286FDE2}"/>
            </c:ext>
          </c:extLst>
        </c:ser>
        <c:ser>
          <c:idx val="2"/>
          <c:order val="2"/>
          <c:tx>
            <c:strRef>
              <c:f>'I-XII 2018'!$Q$10</c:f>
              <c:strCache>
                <c:ptCount val="1"/>
                <c:pt idx="0">
                  <c:v>Alte surse</c:v>
                </c:pt>
              </c:strCache>
            </c:strRef>
          </c:tx>
          <c:spPr>
            <a:solidFill>
              <a:schemeClr val="accent1">
                <a:tint val="65000"/>
              </a:schemeClr>
            </a:solidFill>
            <a:ln>
              <a:noFill/>
            </a:ln>
            <a:effectLst/>
          </c:spPr>
          <c:invertIfNegative val="0"/>
          <c:dLbls>
            <c:spPr>
              <a:solidFill>
                <a:schemeClr val="bg1"/>
              </a:solidFill>
              <a:ln>
                <a:solidFill>
                  <a:schemeClr val="bg1">
                    <a:lumMod val="50000"/>
                  </a:schemeClr>
                </a:solid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eparator>
</c:separator>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'I-XII 2018'!$AB$5:$AC$6</c:f>
              <c:strCache>
                <c:ptCount val="2"/>
                <c:pt idx="0">
                  <c:v>2017</c:v>
                </c:pt>
                <c:pt idx="1">
                  <c:v>2018</c:v>
                </c:pt>
              </c:strCache>
            </c:strRef>
          </c:cat>
          <c:val>
            <c:numRef>
              <c:f>'I-XII 2018'!$AB$10:$AC$10</c:f>
              <c:numCache>
                <c:formatCode>0.0</c:formatCode>
                <c:ptCount val="2"/>
                <c:pt idx="0">
                  <c:v>4727.7625603000006</c:v>
                </c:pt>
                <c:pt idx="1">
                  <c:v>5476.2598999999991</c:v>
                </c:pt>
              </c:numCache>
            </c:numRef>
          </c:val>
          <c:extLst xmlns:c16r2="http://schemas.microsoft.com/office/drawing/2015/06/chart">
            <c:ext xmlns:c16="http://schemas.microsoft.com/office/drawing/2014/chart" uri="{C3380CC4-5D6E-409C-BE32-E72D297353CC}">
              <c16:uniqueId val="{00000005-E3AC-4ED7-BFB4-3F06F286FDE2}"/>
            </c:ext>
          </c:extLst>
        </c:ser>
        <c:dLbls>
          <c:showLegendKey val="0"/>
          <c:showVal val="0"/>
          <c:showCatName val="0"/>
          <c:showSerName val="0"/>
          <c:showPercent val="0"/>
          <c:showBubbleSize val="0"/>
        </c:dLbls>
        <c:gapWidth val="150"/>
        <c:overlap val="100"/>
        <c:axId val="665767176"/>
        <c:axId val="665766784"/>
      </c:barChart>
      <c:catAx>
        <c:axId val="665767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65766784"/>
        <c:crosses val="autoZero"/>
        <c:auto val="1"/>
        <c:lblAlgn val="ctr"/>
        <c:lblOffset val="100"/>
        <c:noMultiLvlLbl val="0"/>
      </c:catAx>
      <c:valAx>
        <c:axId val="665766784"/>
        <c:scaling>
          <c:orientation val="minMax"/>
          <c:max val="245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57671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Pt>
            <c:idx val="0"/>
            <c:invertIfNegative val="0"/>
            <c:bubble3D val="0"/>
            <c:spPr>
              <a:solidFill>
                <a:schemeClr val="accent1">
                  <a:lumMod val="75000"/>
                </a:schemeClr>
              </a:solidFill>
            </c:spPr>
            <c:extLst xmlns:c16r2="http://schemas.microsoft.com/office/drawing/2015/06/chart">
              <c:ext xmlns:c16="http://schemas.microsoft.com/office/drawing/2014/chart" uri="{C3380CC4-5D6E-409C-BE32-E72D297353CC}">
                <c16:uniqueId val="{00000001-9462-45B6-BBF4-3C0546555CDA}"/>
              </c:ext>
            </c:extLst>
          </c:dPt>
          <c:dLbls>
            <c:dLbl>
              <c:idx val="7"/>
              <c:layout>
                <c:manualLayout>
                  <c:x val="-8.3333333333333332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462-45B6-BBF4-3C0546555CDA}"/>
                </c:ext>
                <c:ext xmlns:c15="http://schemas.microsoft.com/office/drawing/2012/chart" uri="{CE6537A1-D6FC-4f65-9D91-7224C49458BB}"/>
              </c:extLst>
            </c:dLbl>
            <c:dLbl>
              <c:idx val="8"/>
              <c:layout>
                <c:manualLayout>
                  <c:x val="-1.111111111111111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462-45B6-BBF4-3C0546555CDA}"/>
                </c:ext>
                <c:ext xmlns:c15="http://schemas.microsoft.com/office/drawing/2012/chart" uri="{CE6537A1-D6FC-4f65-9D91-7224C49458BB}"/>
              </c:extLst>
            </c:dLbl>
            <c:numFmt formatCode="#,##0.0" sourceLinked="0"/>
            <c:spPr>
              <a:noFill/>
              <a:ln>
                <a:noFill/>
              </a:ln>
              <a:effectLst/>
            </c:spPr>
            <c:txPr>
              <a:bodyPr/>
              <a:lstStyle/>
              <a:p>
                <a:pPr>
                  <a:defRPr sz="7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'0_SHEET'!$A$39:$A$47</c:f>
              <c:strCache>
                <c:ptCount val="9"/>
                <c:pt idx="0">
                  <c:v>Total investiții imobilizate</c:v>
                </c:pt>
                <c:pt idx="1">
                  <c:v>Bugetul de stat și bugetul UAT</c:v>
                </c:pt>
                <c:pt idx="2">
                  <c:v>Credite si imprumuturi interne</c:v>
                </c:pt>
                <c:pt idx="3">
                  <c:v>Surse proprii ale agenților economici</c:v>
                </c:pt>
                <c:pt idx="4">
                  <c:v>Fondul rutier</c:v>
                </c:pt>
                <c:pt idx="5">
                  <c:v>Fondul ecologic</c:v>
                </c:pt>
                <c:pt idx="6">
                  <c:v>Surse de la organizațiile internaționale (granturi și asistență tehnică)</c:v>
                </c:pt>
                <c:pt idx="7">
                  <c:v>Credite si imprumuturi externe</c:v>
                </c:pt>
                <c:pt idx="8">
                  <c:v>Alte surse</c:v>
                </c:pt>
              </c:strCache>
            </c:strRef>
          </c:cat>
          <c:val>
            <c:numRef>
              <c:f>'0_SHEET'!$B$39:$B$47</c:f>
              <c:numCache>
                <c:formatCode>0.0</c:formatCode>
                <c:ptCount val="9"/>
                <c:pt idx="0" formatCode="General">
                  <c:v>12.29999969213118</c:v>
                </c:pt>
                <c:pt idx="1">
                  <c:v>7.1148464360572019</c:v>
                </c:pt>
                <c:pt idx="2">
                  <c:v>4.4724155556786664</c:v>
                </c:pt>
                <c:pt idx="3">
                  <c:v>1.7140274637346882</c:v>
                </c:pt>
                <c:pt idx="4">
                  <c:v>0.56063816501502961</c:v>
                </c:pt>
                <c:pt idx="5">
                  <c:v>4.0607436256647686E-2</c:v>
                </c:pt>
                <c:pt idx="6">
                  <c:v>-0.37113437304714902</c:v>
                </c:pt>
                <c:pt idx="7">
                  <c:v>-0.52913620975469422</c:v>
                </c:pt>
                <c:pt idx="8">
                  <c:v>-0.70226478180921714</c:v>
                </c:pt>
              </c:numCache>
            </c:numRef>
          </c:val>
          <c:extLst xmlns:c16r2="http://schemas.microsoft.com/office/drawing/2015/06/chart">
            <c:ext xmlns:c16="http://schemas.microsoft.com/office/drawing/2014/chart" uri="{C3380CC4-5D6E-409C-BE32-E72D297353CC}">
              <c16:uniqueId val="{00000004-9462-45B6-BBF4-3C0546555CDA}"/>
            </c:ext>
          </c:extLst>
        </c:ser>
        <c:dLbls>
          <c:showLegendKey val="0"/>
          <c:showVal val="0"/>
          <c:showCatName val="0"/>
          <c:showSerName val="0"/>
          <c:showPercent val="0"/>
          <c:showBubbleSize val="0"/>
        </c:dLbls>
        <c:gapWidth val="150"/>
        <c:axId val="665770704"/>
        <c:axId val="665759728"/>
      </c:barChart>
      <c:catAx>
        <c:axId val="665770704"/>
        <c:scaling>
          <c:orientation val="maxMin"/>
        </c:scaling>
        <c:delete val="0"/>
        <c:axPos val="l"/>
        <c:numFmt formatCode="General" sourceLinked="0"/>
        <c:majorTickMark val="out"/>
        <c:minorTickMark val="none"/>
        <c:tickLblPos val="low"/>
        <c:txPr>
          <a:bodyPr/>
          <a:lstStyle/>
          <a:p>
            <a:pPr>
              <a:defRPr sz="700"/>
            </a:pPr>
            <a:endParaRPr lang="en-US"/>
          </a:p>
        </c:txPr>
        <c:crossAx val="665759728"/>
        <c:crosses val="autoZero"/>
        <c:auto val="1"/>
        <c:lblAlgn val="ctr"/>
        <c:lblOffset val="100"/>
        <c:noMultiLvlLbl val="0"/>
      </c:catAx>
      <c:valAx>
        <c:axId val="665759728"/>
        <c:scaling>
          <c:orientation val="minMax"/>
        </c:scaling>
        <c:delete val="0"/>
        <c:axPos val="t"/>
        <c:majorGridlines>
          <c:spPr>
            <a:ln>
              <a:solidFill>
                <a:schemeClr val="bg1">
                  <a:lumMod val="95000"/>
                </a:schemeClr>
              </a:solidFill>
            </a:ln>
          </c:spPr>
        </c:majorGridlines>
        <c:numFmt formatCode="General" sourceLinked="1"/>
        <c:majorTickMark val="out"/>
        <c:minorTickMark val="none"/>
        <c:tickLblPos val="nextTo"/>
        <c:txPr>
          <a:bodyPr/>
          <a:lstStyle/>
          <a:p>
            <a:pPr>
              <a:defRPr sz="700"/>
            </a:pPr>
            <a:endParaRPr lang="en-US"/>
          </a:p>
        </c:txPr>
        <c:crossAx val="665770704"/>
        <c:crosses val="autoZero"/>
        <c:crossBetween val="between"/>
      </c:valAx>
    </c:plotArea>
    <c:plotVisOnly val="1"/>
    <c:dispBlanksAs val="gap"/>
    <c:showDLblsOverMax val="0"/>
  </c:chart>
  <c:spPr>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'0_SHEET'!$A$55</c:f>
              <c:strCache>
                <c:ptCount val="1"/>
                <c:pt idx="0">
                  <c:v>Surse proprii ale agenților economici</c:v>
                </c:pt>
              </c:strCache>
            </c:strRef>
          </c:tx>
          <c:invertIfNegative val="0"/>
          <c:dLbls>
            <c:spPr>
              <a:solidFill>
                <a:schemeClr val="bg1"/>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'0_SHEET'!$D$54:$E$54</c:f>
              <c:numCache>
                <c:formatCode>General</c:formatCode>
                <c:ptCount val="2"/>
                <c:pt idx="0">
                  <c:v>2017</c:v>
                </c:pt>
                <c:pt idx="1">
                  <c:v>2018</c:v>
                </c:pt>
              </c:numCache>
            </c:numRef>
          </c:cat>
          <c:val>
            <c:numRef>
              <c:f>'0_SHEET'!$D$55:$E$55</c:f>
              <c:numCache>
                <c:formatCode>0.0</c:formatCode>
                <c:ptCount val="2"/>
                <c:pt idx="0">
                  <c:v>65.575881008945302</c:v>
                </c:pt>
                <c:pt idx="1">
                  <c:v>59.91977618624604</c:v>
                </c:pt>
              </c:numCache>
            </c:numRef>
          </c:val>
          <c:extLst xmlns:c16r2="http://schemas.microsoft.com/office/drawing/2015/06/chart">
            <c:ext xmlns:c16="http://schemas.microsoft.com/office/drawing/2014/chart" uri="{C3380CC4-5D6E-409C-BE32-E72D297353CC}">
              <c16:uniqueId val="{00000000-6A39-4A42-B2CA-B00D6E0A8957}"/>
            </c:ext>
          </c:extLst>
        </c:ser>
        <c:ser>
          <c:idx val="1"/>
          <c:order val="1"/>
          <c:tx>
            <c:strRef>
              <c:f>'0_SHEET'!$A$56</c:f>
              <c:strCache>
                <c:ptCount val="1"/>
                <c:pt idx="0">
                  <c:v>Bugetul de stat și bugetele UAT</c:v>
                </c:pt>
              </c:strCache>
            </c:strRef>
          </c:tx>
          <c:spPr>
            <a:pattFill prst="smCheck">
              <a:fgClr>
                <a:schemeClr val="accent1"/>
              </a:fgClr>
              <a:bgClr>
                <a:schemeClr val="bg1"/>
              </a:bgClr>
            </a:pattFill>
            <a:ln>
              <a:solidFill>
                <a:schemeClr val="tx1">
                  <a:lumMod val="15000"/>
                  <a:lumOff val="85000"/>
                </a:schemeClr>
              </a:solidFill>
            </a:ln>
          </c:spPr>
          <c:invertIfNegative val="0"/>
          <c:dLbls>
            <c:spPr>
              <a:solidFill>
                <a:schemeClr val="bg1"/>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'0_SHEET'!$D$54:$E$54</c:f>
              <c:numCache>
                <c:formatCode>General</c:formatCode>
                <c:ptCount val="2"/>
                <c:pt idx="0">
                  <c:v>2017</c:v>
                </c:pt>
                <c:pt idx="1">
                  <c:v>2018</c:v>
                </c:pt>
              </c:numCache>
            </c:numRef>
          </c:cat>
          <c:val>
            <c:numRef>
              <c:f>'0_SHEET'!$D$56:$E$56</c:f>
              <c:numCache>
                <c:formatCode>0.0</c:formatCode>
                <c:ptCount val="2"/>
                <c:pt idx="0">
                  <c:v>12.499240351868632</c:v>
                </c:pt>
                <c:pt idx="1">
                  <c:v>17.465794160015641</c:v>
                </c:pt>
              </c:numCache>
            </c:numRef>
          </c:val>
          <c:extLst xmlns:c16r2="http://schemas.microsoft.com/office/drawing/2015/06/chart">
            <c:ext xmlns:c16="http://schemas.microsoft.com/office/drawing/2014/chart" uri="{C3380CC4-5D6E-409C-BE32-E72D297353CC}">
              <c16:uniqueId val="{00000001-6A39-4A42-B2CA-B00D6E0A8957}"/>
            </c:ext>
          </c:extLst>
        </c:ser>
        <c:ser>
          <c:idx val="2"/>
          <c:order val="2"/>
          <c:tx>
            <c:strRef>
              <c:f>'0_SHEET'!$A$57</c:f>
              <c:strCache>
                <c:ptCount val="1"/>
                <c:pt idx="0">
                  <c:v>Credite si imprumuturi interne</c:v>
                </c:pt>
              </c:strCache>
            </c:strRef>
          </c:tx>
          <c:spPr>
            <a:pattFill prst="pct5">
              <a:fgClr>
                <a:schemeClr val="accent1"/>
              </a:fgClr>
              <a:bgClr>
                <a:schemeClr val="bg1"/>
              </a:bgClr>
            </a:pattFill>
            <a:ln>
              <a:solidFill>
                <a:schemeClr val="tx1">
                  <a:lumMod val="15000"/>
                  <a:lumOff val="85000"/>
                </a:schemeClr>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'0_SHEET'!$D$54:$E$54</c:f>
              <c:numCache>
                <c:formatCode>General</c:formatCode>
                <c:ptCount val="2"/>
                <c:pt idx="0">
                  <c:v>2017</c:v>
                </c:pt>
                <c:pt idx="1">
                  <c:v>2018</c:v>
                </c:pt>
              </c:numCache>
            </c:numRef>
          </c:cat>
          <c:val>
            <c:numRef>
              <c:f>'0_SHEET'!$D$57:$E$57</c:f>
              <c:numCache>
                <c:formatCode>0.0</c:formatCode>
                <c:ptCount val="2"/>
                <c:pt idx="0">
                  <c:v>6.1861438351967992</c:v>
                </c:pt>
                <c:pt idx="1">
                  <c:v>9.4911481924272056</c:v>
                </c:pt>
              </c:numCache>
            </c:numRef>
          </c:val>
          <c:extLst xmlns:c16r2="http://schemas.microsoft.com/office/drawing/2015/06/chart">
            <c:ext xmlns:c16="http://schemas.microsoft.com/office/drawing/2014/chart" uri="{C3380CC4-5D6E-409C-BE32-E72D297353CC}">
              <c16:uniqueId val="{00000002-6A39-4A42-B2CA-B00D6E0A8957}"/>
            </c:ext>
          </c:extLst>
        </c:ser>
        <c:ser>
          <c:idx val="3"/>
          <c:order val="3"/>
          <c:tx>
            <c:strRef>
              <c:f>'0_SHEET'!$A$58</c:f>
              <c:strCache>
                <c:ptCount val="1"/>
                <c:pt idx="0">
                  <c:v>Surse de la organizațiile internaționale (granturi și asistență tehnică)</c:v>
                </c:pt>
              </c:strCache>
            </c:strRef>
          </c:tx>
          <c:spPr>
            <a:pattFill prst="trellis">
              <a:fgClr>
                <a:schemeClr val="accent1"/>
              </a:fgClr>
              <a:bgClr>
                <a:schemeClr val="bg1"/>
              </a:bgClr>
            </a:pattFill>
            <a:ln>
              <a:solidFill>
                <a:schemeClr val="tx1">
                  <a:lumMod val="15000"/>
                  <a:lumOff val="85000"/>
                </a:schemeClr>
              </a:solidFill>
            </a:ln>
          </c:spPr>
          <c:invertIfNegative val="0"/>
          <c:dLbls>
            <c:spPr>
              <a:solidFill>
                <a:schemeClr val="bg1"/>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'0_SHEET'!$D$54:$E$54</c:f>
              <c:numCache>
                <c:formatCode>General</c:formatCode>
                <c:ptCount val="2"/>
                <c:pt idx="0">
                  <c:v>2017</c:v>
                </c:pt>
                <c:pt idx="1">
                  <c:v>2018</c:v>
                </c:pt>
              </c:numCache>
            </c:numRef>
          </c:cat>
          <c:val>
            <c:numRef>
              <c:f>'0_SHEET'!$D$58:$E$58</c:f>
              <c:numCache>
                <c:formatCode>0.0</c:formatCode>
                <c:ptCount val="2"/>
                <c:pt idx="0">
                  <c:v>5.2176353318623114</c:v>
                </c:pt>
                <c:pt idx="1">
                  <c:v>4.3156731719517136</c:v>
                </c:pt>
              </c:numCache>
            </c:numRef>
          </c:val>
          <c:extLst xmlns:c16r2="http://schemas.microsoft.com/office/drawing/2015/06/chart">
            <c:ext xmlns:c16="http://schemas.microsoft.com/office/drawing/2014/chart" uri="{C3380CC4-5D6E-409C-BE32-E72D297353CC}">
              <c16:uniqueId val="{00000003-6A39-4A42-B2CA-B00D6E0A8957}"/>
            </c:ext>
          </c:extLst>
        </c:ser>
        <c:ser>
          <c:idx val="4"/>
          <c:order val="4"/>
          <c:tx>
            <c:strRef>
              <c:f>'0_SHEET'!$A$59</c:f>
              <c:strCache>
                <c:ptCount val="1"/>
                <c:pt idx="0">
                  <c:v>Fondul rutier</c:v>
                </c:pt>
              </c:strCache>
            </c:strRef>
          </c:tx>
          <c:spPr>
            <a:solidFill>
              <a:schemeClr val="tx2">
                <a:lumMod val="40000"/>
                <a:lumOff val="60000"/>
              </a:schemeClr>
            </a:solidFill>
            <a:ln>
              <a:solidFill>
                <a:schemeClr val="tx1">
                  <a:lumMod val="15000"/>
                  <a:lumOff val="85000"/>
                </a:schemeClr>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'0_SHEET'!$D$54:$E$54</c:f>
              <c:numCache>
                <c:formatCode>General</c:formatCode>
                <c:ptCount val="2"/>
                <c:pt idx="0">
                  <c:v>2017</c:v>
                </c:pt>
                <c:pt idx="1">
                  <c:v>2018</c:v>
                </c:pt>
              </c:numCache>
            </c:numRef>
          </c:cat>
          <c:val>
            <c:numRef>
              <c:f>'0_SHEET'!$D$59:$E$59</c:f>
              <c:numCache>
                <c:formatCode>0.0</c:formatCode>
                <c:ptCount val="2"/>
                <c:pt idx="0">
                  <c:v>3.4713185822715968</c:v>
                </c:pt>
                <c:pt idx="1">
                  <c:v>3.5903443974534088</c:v>
                </c:pt>
              </c:numCache>
            </c:numRef>
          </c:val>
          <c:extLst xmlns:c16r2="http://schemas.microsoft.com/office/drawing/2015/06/chart">
            <c:ext xmlns:c16="http://schemas.microsoft.com/office/drawing/2014/chart" uri="{C3380CC4-5D6E-409C-BE32-E72D297353CC}">
              <c16:uniqueId val="{00000004-6A39-4A42-B2CA-B00D6E0A8957}"/>
            </c:ext>
          </c:extLst>
        </c:ser>
        <c:ser>
          <c:idx val="5"/>
          <c:order val="5"/>
          <c:tx>
            <c:strRef>
              <c:f>'0_SHEET'!$A$60</c:f>
              <c:strCache>
                <c:ptCount val="1"/>
                <c:pt idx="0">
                  <c:v>Credite si imprumuturi externe</c:v>
                </c:pt>
              </c:strCache>
            </c:strRef>
          </c:tx>
          <c:spPr>
            <a:pattFill prst="narVert">
              <a:fgClr>
                <a:schemeClr val="accent1"/>
              </a:fgClr>
              <a:bgClr>
                <a:schemeClr val="bg1"/>
              </a:bgClr>
            </a:pattFill>
            <a:ln>
              <a:solidFill>
                <a:schemeClr val="tx1">
                  <a:lumMod val="15000"/>
                  <a:lumOff val="85000"/>
                </a:schemeClr>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'0_SHEET'!$D$54:$E$54</c:f>
              <c:numCache>
                <c:formatCode>General</c:formatCode>
                <c:ptCount val="2"/>
                <c:pt idx="0">
                  <c:v>2017</c:v>
                </c:pt>
                <c:pt idx="1">
                  <c:v>2018</c:v>
                </c:pt>
              </c:numCache>
            </c:numRef>
          </c:cat>
          <c:val>
            <c:numRef>
              <c:f>'0_SHEET'!$D$60:$E$60</c:f>
              <c:numCache>
                <c:formatCode>0.0</c:formatCode>
                <c:ptCount val="2"/>
                <c:pt idx="0">
                  <c:v>4.5273599824184547</c:v>
                </c:pt>
                <c:pt idx="1">
                  <c:v>3.5603061296748302</c:v>
                </c:pt>
              </c:numCache>
            </c:numRef>
          </c:val>
          <c:extLst xmlns:c16r2="http://schemas.microsoft.com/office/drawing/2015/06/chart">
            <c:ext xmlns:c16="http://schemas.microsoft.com/office/drawing/2014/chart" uri="{C3380CC4-5D6E-409C-BE32-E72D297353CC}">
              <c16:uniqueId val="{00000005-6A39-4A42-B2CA-B00D6E0A8957}"/>
            </c:ext>
          </c:extLst>
        </c:ser>
        <c:ser>
          <c:idx val="6"/>
          <c:order val="6"/>
          <c:tx>
            <c:strRef>
              <c:f>'0_SHEET'!$A$61</c:f>
              <c:strCache>
                <c:ptCount val="1"/>
                <c:pt idx="0">
                  <c:v>Fondul ecologic</c:v>
                </c:pt>
              </c:strCache>
            </c:strRef>
          </c:tx>
          <c:invertIfNegative val="0"/>
          <c:cat>
            <c:numRef>
              <c:f>'0_SHEET'!$D$54:$E$54</c:f>
              <c:numCache>
                <c:formatCode>General</c:formatCode>
                <c:ptCount val="2"/>
                <c:pt idx="0">
                  <c:v>2017</c:v>
                </c:pt>
                <c:pt idx="1">
                  <c:v>2018</c:v>
                </c:pt>
              </c:numCache>
            </c:numRef>
          </c:cat>
          <c:val>
            <c:numRef>
              <c:f>'0_SHEET'!$D$61:$E$61</c:f>
              <c:numCache>
                <c:formatCode>0.0</c:formatCode>
                <c:ptCount val="2"/>
                <c:pt idx="0">
                  <c:v>0.92054351066368789</c:v>
                </c:pt>
                <c:pt idx="1">
                  <c:v>0.85587796042325648</c:v>
                </c:pt>
              </c:numCache>
            </c:numRef>
          </c:val>
          <c:extLst xmlns:c16r2="http://schemas.microsoft.com/office/drawing/2015/06/chart">
            <c:ext xmlns:c16="http://schemas.microsoft.com/office/drawing/2014/chart" uri="{C3380CC4-5D6E-409C-BE32-E72D297353CC}">
              <c16:uniqueId val="{00000006-6A39-4A42-B2CA-B00D6E0A8957}"/>
            </c:ext>
          </c:extLst>
        </c:ser>
        <c:ser>
          <c:idx val="7"/>
          <c:order val="7"/>
          <c:tx>
            <c:strRef>
              <c:f>'0_SHEET'!$A$62</c:f>
              <c:strCache>
                <c:ptCount val="1"/>
                <c:pt idx="0">
                  <c:v>Alte surse</c:v>
                </c:pt>
              </c:strCache>
            </c:strRef>
          </c:tx>
          <c:spPr>
            <a:pattFill prst="horzBrick">
              <a:fgClr>
                <a:schemeClr val="accent1"/>
              </a:fgClr>
              <a:bgClr>
                <a:schemeClr val="bg1"/>
              </a:bgClr>
            </a:pattFill>
            <a:ln>
              <a:solidFill>
                <a:schemeClr val="tx1">
                  <a:lumMod val="15000"/>
                  <a:lumOff val="85000"/>
                </a:schemeClr>
              </a:solidFill>
            </a:ln>
          </c:spPr>
          <c:invertIfNegative val="0"/>
          <c:cat>
            <c:numRef>
              <c:f>'0_SHEET'!$D$54:$E$54</c:f>
              <c:numCache>
                <c:formatCode>General</c:formatCode>
                <c:ptCount val="2"/>
                <c:pt idx="0">
                  <c:v>2017</c:v>
                </c:pt>
                <c:pt idx="1">
                  <c:v>2018</c:v>
                </c:pt>
              </c:numCache>
            </c:numRef>
          </c:cat>
          <c:val>
            <c:numRef>
              <c:f>'0_SHEET'!$D$62:$E$62</c:f>
              <c:numCache>
                <c:formatCode>0.0</c:formatCode>
                <c:ptCount val="2"/>
                <c:pt idx="0">
                  <c:v>1.6018773967732012</c:v>
                </c:pt>
                <c:pt idx="1">
                  <c:v>0.80107980180788907</c:v>
                </c:pt>
              </c:numCache>
            </c:numRef>
          </c:val>
          <c:extLst xmlns:c16r2="http://schemas.microsoft.com/office/drawing/2015/06/chart">
            <c:ext xmlns:c16="http://schemas.microsoft.com/office/drawing/2014/chart" uri="{C3380CC4-5D6E-409C-BE32-E72D297353CC}">
              <c16:uniqueId val="{00000007-6A39-4A42-B2CA-B00D6E0A8957}"/>
            </c:ext>
          </c:extLst>
        </c:ser>
        <c:dLbls>
          <c:showLegendKey val="0"/>
          <c:showVal val="0"/>
          <c:showCatName val="0"/>
          <c:showSerName val="0"/>
          <c:showPercent val="0"/>
          <c:showBubbleSize val="0"/>
        </c:dLbls>
        <c:gapWidth val="150"/>
        <c:overlap val="100"/>
        <c:axId val="665764040"/>
        <c:axId val="665754632"/>
      </c:barChart>
      <c:catAx>
        <c:axId val="665764040"/>
        <c:scaling>
          <c:orientation val="minMax"/>
        </c:scaling>
        <c:delete val="0"/>
        <c:axPos val="b"/>
        <c:numFmt formatCode="General" sourceLinked="1"/>
        <c:majorTickMark val="out"/>
        <c:minorTickMark val="none"/>
        <c:tickLblPos val="nextTo"/>
        <c:crossAx val="665754632"/>
        <c:crosses val="autoZero"/>
        <c:auto val="1"/>
        <c:lblAlgn val="ctr"/>
        <c:lblOffset val="100"/>
        <c:noMultiLvlLbl val="0"/>
      </c:catAx>
      <c:valAx>
        <c:axId val="665754632"/>
        <c:scaling>
          <c:orientation val="minMax"/>
        </c:scaling>
        <c:delete val="0"/>
        <c:axPos val="l"/>
        <c:majorGridlines>
          <c:spPr>
            <a:ln>
              <a:solidFill>
                <a:schemeClr val="bg1">
                  <a:lumMod val="95000"/>
                </a:schemeClr>
              </a:solidFill>
            </a:ln>
          </c:spPr>
        </c:majorGridlines>
        <c:numFmt formatCode="0%" sourceLinked="1"/>
        <c:majorTickMark val="out"/>
        <c:minorTickMark val="none"/>
        <c:tickLblPos val="nextTo"/>
        <c:spPr>
          <a:ln>
            <a:solidFill>
              <a:schemeClr val="tx1">
                <a:lumMod val="15000"/>
                <a:lumOff val="85000"/>
              </a:schemeClr>
            </a:solidFill>
          </a:ln>
        </c:spPr>
        <c:crossAx val="665764040"/>
        <c:crosses val="autoZero"/>
        <c:crossBetween val="between"/>
      </c:valAx>
    </c:plotArea>
    <c:legend>
      <c:legendPos val="r"/>
      <c:layout>
        <c:manualLayout>
          <c:xMode val="edge"/>
          <c:yMode val="edge"/>
          <c:x val="0.56197713995428"/>
          <c:y val="2.7458551152180356E-2"/>
          <c:w val="0.42135602404538142"/>
          <c:h val="0.96853690809310011"/>
        </c:manualLayout>
      </c:layout>
      <c:overlay val="0"/>
    </c:legend>
    <c:plotVisOnly val="1"/>
    <c:dispBlanksAs val="gap"/>
    <c:showDLblsOverMax val="0"/>
  </c:chart>
  <c:spPr>
    <a:ln>
      <a:noFill/>
    </a:ln>
  </c:spPr>
  <c:txPr>
    <a:bodyPr/>
    <a:lstStyle/>
    <a:p>
      <a:pPr>
        <a:defRPr sz="700"/>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Pt>
            <c:idx val="0"/>
            <c:invertIfNegative val="0"/>
            <c:bubble3D val="0"/>
            <c:spPr>
              <a:solidFill>
                <a:schemeClr val="accent1">
                  <a:lumMod val="75000"/>
                </a:schemeClr>
              </a:solidFill>
            </c:spPr>
            <c:extLst xmlns:c16r2="http://schemas.microsoft.com/office/drawing/2015/06/chart">
              <c:ext xmlns:c16="http://schemas.microsoft.com/office/drawing/2014/chart" uri="{C3380CC4-5D6E-409C-BE32-E72D297353CC}">
                <c16:uniqueId val="{00000001-B921-4903-A851-5F2ACEAB879E}"/>
              </c:ext>
            </c:extLst>
          </c:dPt>
          <c:dLbls>
            <c:dLbl>
              <c:idx val="7"/>
              <c:layout>
                <c:manualLayout>
                  <c:x val="-8.3333333333333332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921-4903-A851-5F2ACEAB879E}"/>
                </c:ext>
                <c:ext xmlns:c15="http://schemas.microsoft.com/office/drawing/2012/chart" uri="{CE6537A1-D6FC-4f65-9D91-7224C49458BB}"/>
              </c:extLst>
            </c:dLbl>
            <c:dLbl>
              <c:idx val="8"/>
              <c:layout>
                <c:manualLayout>
                  <c:x val="-1.111111111111111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921-4903-A851-5F2ACEAB879E}"/>
                </c:ext>
                <c:ext xmlns:c15="http://schemas.microsoft.com/office/drawing/2012/chart" uri="{CE6537A1-D6FC-4f65-9D91-7224C49458BB}"/>
              </c:extLst>
            </c:dLbl>
            <c:numFmt formatCode="#,##0.0" sourceLinked="0"/>
            <c:spPr>
              <a:noFill/>
              <a:ln>
                <a:noFill/>
              </a:ln>
              <a:effectLst/>
            </c:spPr>
            <c:txPr>
              <a:bodyPr/>
              <a:lstStyle/>
              <a:p>
                <a:pPr>
                  <a:defRPr sz="7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'0_SHEET'!$A$66:$A$75</c:f>
              <c:strCache>
                <c:ptCount val="10"/>
                <c:pt idx="0">
                  <c:v>Total investiții imobilizate</c:v>
                </c:pt>
                <c:pt idx="1">
                  <c:v>Constructii speciale (ingineresti)</c:v>
                </c:pt>
                <c:pt idx="2">
                  <c:v>Masini și utilaje</c:v>
                </c:pt>
                <c:pt idx="3">
                  <c:v>Cladiri nerezidentiale </c:v>
                </c:pt>
                <c:pt idx="4">
                  <c:v>Mijloace de transport</c:v>
                </c:pt>
                <c:pt idx="5">
                  <c:v>Terenuri</c:v>
                </c:pt>
                <c:pt idx="6">
                  <c:v>Programe informatice și alte imobilizări necorporale</c:v>
                </c:pt>
                <c:pt idx="7">
                  <c:v>Cladiri rezidentiale (de locuit) </c:v>
                </c:pt>
                <c:pt idx="8">
                  <c:v>Alte mijloace fixe</c:v>
                </c:pt>
                <c:pt idx="9">
                  <c:v>Active biologice imobilizate</c:v>
                </c:pt>
              </c:strCache>
            </c:strRef>
          </c:cat>
          <c:val>
            <c:numRef>
              <c:f>'0_SHEET'!$B$66:$B$75</c:f>
              <c:numCache>
                <c:formatCode>0.0</c:formatCode>
                <c:ptCount val="10"/>
                <c:pt idx="0">
                  <c:v>12.299999692131172</c:v>
                </c:pt>
                <c:pt idx="1">
                  <c:v>5.1268262657382033</c:v>
                </c:pt>
                <c:pt idx="2">
                  <c:v>1.9541968526315296</c:v>
                </c:pt>
                <c:pt idx="3">
                  <c:v>1.7015943161500471</c:v>
                </c:pt>
                <c:pt idx="4">
                  <c:v>1.6248708162300647</c:v>
                </c:pt>
                <c:pt idx="5">
                  <c:v>1.0587667796378399</c:v>
                </c:pt>
                <c:pt idx="6">
                  <c:v>0.57679003498010883</c:v>
                </c:pt>
                <c:pt idx="7">
                  <c:v>0.25250315359182463</c:v>
                </c:pt>
                <c:pt idx="8">
                  <c:v>0.1955168314998445</c:v>
                </c:pt>
                <c:pt idx="9">
                  <c:v>-0.41752519285243822</c:v>
                </c:pt>
              </c:numCache>
            </c:numRef>
          </c:val>
          <c:extLst xmlns:c16r2="http://schemas.microsoft.com/office/drawing/2015/06/chart">
            <c:ext xmlns:c16="http://schemas.microsoft.com/office/drawing/2014/chart" uri="{C3380CC4-5D6E-409C-BE32-E72D297353CC}">
              <c16:uniqueId val="{00000004-B921-4903-A851-5F2ACEAB879E}"/>
            </c:ext>
          </c:extLst>
        </c:ser>
        <c:dLbls>
          <c:showLegendKey val="0"/>
          <c:showVal val="0"/>
          <c:showCatName val="0"/>
          <c:showSerName val="0"/>
          <c:showPercent val="0"/>
          <c:showBubbleSize val="0"/>
        </c:dLbls>
        <c:gapWidth val="150"/>
        <c:axId val="665765608"/>
        <c:axId val="665765216"/>
      </c:barChart>
      <c:catAx>
        <c:axId val="665765608"/>
        <c:scaling>
          <c:orientation val="maxMin"/>
        </c:scaling>
        <c:delete val="0"/>
        <c:axPos val="l"/>
        <c:numFmt formatCode="General" sourceLinked="0"/>
        <c:majorTickMark val="out"/>
        <c:minorTickMark val="none"/>
        <c:tickLblPos val="low"/>
        <c:txPr>
          <a:bodyPr/>
          <a:lstStyle/>
          <a:p>
            <a:pPr>
              <a:defRPr sz="700"/>
            </a:pPr>
            <a:endParaRPr lang="en-US"/>
          </a:p>
        </c:txPr>
        <c:crossAx val="665765216"/>
        <c:crosses val="autoZero"/>
        <c:auto val="1"/>
        <c:lblAlgn val="ctr"/>
        <c:lblOffset val="100"/>
        <c:noMultiLvlLbl val="0"/>
      </c:catAx>
      <c:valAx>
        <c:axId val="665765216"/>
        <c:scaling>
          <c:orientation val="minMax"/>
        </c:scaling>
        <c:delete val="0"/>
        <c:axPos val="t"/>
        <c:majorGridlines/>
        <c:numFmt formatCode="0" sourceLinked="0"/>
        <c:majorTickMark val="out"/>
        <c:minorTickMark val="none"/>
        <c:tickLblPos val="nextTo"/>
        <c:txPr>
          <a:bodyPr/>
          <a:lstStyle/>
          <a:p>
            <a:pPr>
              <a:defRPr sz="700"/>
            </a:pPr>
            <a:endParaRPr lang="en-US"/>
          </a:p>
        </c:txPr>
        <c:crossAx val="665765608"/>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5484106153397494E-2"/>
          <c:y val="5.4242469021131078E-2"/>
          <c:w val="0.9190529308836396"/>
          <c:h val="0.4835501326409265"/>
        </c:manualLayout>
      </c:layout>
      <c:lineChart>
        <c:grouping val="standard"/>
        <c:varyColors val="0"/>
        <c:ser>
          <c:idx val="0"/>
          <c:order val="0"/>
          <c:tx>
            <c:strRef>
              <c:f>Sheet1!$B$1</c:f>
              <c:strCache>
                <c:ptCount val="1"/>
                <c:pt idx="0">
                  <c:v>Rata inflaţiei </c:v>
                </c:pt>
              </c:strCache>
            </c:strRef>
          </c:tx>
          <c:spPr>
            <a:ln w="38024" cap="rnd">
              <a:solidFill>
                <a:schemeClr val="accent5">
                  <a:lumMod val="75000"/>
                </a:schemeClr>
              </a:solidFill>
              <a:round/>
            </a:ln>
            <a:effectLst/>
          </c:spPr>
          <c:marker>
            <c:symbol val="square"/>
            <c:size val="4"/>
            <c:spPr>
              <a:solidFill>
                <a:schemeClr val="accent5">
                  <a:lumMod val="75000"/>
                </a:schemeClr>
              </a:solidFill>
              <a:ln w="28518">
                <a:solidFill>
                  <a:schemeClr val="accent5">
                    <a:lumMod val="75000"/>
                  </a:schemeClr>
                </a:solidFill>
              </a:ln>
              <a:effectLst/>
            </c:spPr>
          </c:marker>
          <c:cat>
            <c:strRef>
              <c:f>Sheet1!$A$2:$A$14</c:f>
              <c:strCache>
                <c:ptCount val="13"/>
                <c:pt idx="0">
                  <c:v>Ian. 2018</c:v>
                </c:pt>
                <c:pt idx="1">
                  <c:v>Feb.</c:v>
                </c:pt>
                <c:pt idx="2">
                  <c:v>Mar.</c:v>
                </c:pt>
                <c:pt idx="3">
                  <c:v>Apr.</c:v>
                </c:pt>
                <c:pt idx="4">
                  <c:v>Mai</c:v>
                </c:pt>
                <c:pt idx="5">
                  <c:v>Iun.</c:v>
                </c:pt>
                <c:pt idx="6">
                  <c:v>Iul.</c:v>
                </c:pt>
                <c:pt idx="7">
                  <c:v>Aug.</c:v>
                </c:pt>
                <c:pt idx="8">
                  <c:v>Sep.</c:v>
                </c:pt>
                <c:pt idx="9">
                  <c:v>Oct.</c:v>
                </c:pt>
                <c:pt idx="10">
                  <c:v>Noiem.</c:v>
                </c:pt>
                <c:pt idx="11">
                  <c:v>Dec.</c:v>
                </c:pt>
                <c:pt idx="12">
                  <c:v>Ian. 2019</c:v>
                </c:pt>
              </c:strCache>
            </c:strRef>
          </c:cat>
          <c:val>
            <c:numRef>
              <c:f>Sheet1!$B$2:$B$14</c:f>
              <c:numCache>
                <c:formatCode>0.0</c:formatCode>
                <c:ptCount val="13"/>
                <c:pt idx="0">
                  <c:v>6</c:v>
                </c:pt>
                <c:pt idx="1">
                  <c:v>5</c:v>
                </c:pt>
                <c:pt idx="2" formatCode="General">
                  <c:v>4.7</c:v>
                </c:pt>
                <c:pt idx="3" formatCode="General">
                  <c:v>3.7</c:v>
                </c:pt>
                <c:pt idx="4" formatCode="General">
                  <c:v>2.8</c:v>
                </c:pt>
                <c:pt idx="5" formatCode="General">
                  <c:v>3.2</c:v>
                </c:pt>
                <c:pt idx="6">
                  <c:v>3</c:v>
                </c:pt>
                <c:pt idx="7" formatCode="General">
                  <c:v>3.2</c:v>
                </c:pt>
                <c:pt idx="8" formatCode="General">
                  <c:v>2.4</c:v>
                </c:pt>
                <c:pt idx="9" formatCode="General">
                  <c:v>1.2</c:v>
                </c:pt>
                <c:pt idx="10" formatCode="General">
                  <c:v>0.9</c:v>
                </c:pt>
                <c:pt idx="11" formatCode="General">
                  <c:v>0.9</c:v>
                </c:pt>
                <c:pt idx="12" formatCode="General">
                  <c:v>2.2000000000000002</c:v>
                </c:pt>
              </c:numCache>
            </c:numRef>
          </c:val>
          <c:smooth val="0"/>
          <c:extLst xmlns:c16r2="http://schemas.microsoft.com/office/drawing/2015/06/chart">
            <c:ext xmlns:c16="http://schemas.microsoft.com/office/drawing/2014/chart" uri="{C3380CC4-5D6E-409C-BE32-E72D297353CC}">
              <c16:uniqueId val="{00000000-7CE8-45DD-9C98-988872252390}"/>
            </c:ext>
          </c:extLst>
        </c:ser>
        <c:ser>
          <c:idx val="1"/>
          <c:order val="1"/>
          <c:tx>
            <c:strRef>
              <c:f>Sheet1!$C$1</c:f>
              <c:strCache>
                <c:ptCount val="1"/>
                <c:pt idx="0">
                  <c:v>Rata inflaţiei exclusiv produse alimentare şi băuturi, combustibili, produse şi servicii cu preţuri reglementate </c:v>
                </c:pt>
              </c:strCache>
            </c:strRef>
          </c:tx>
          <c:spPr>
            <a:ln w="28518" cap="rnd">
              <a:solidFill>
                <a:schemeClr val="accent2"/>
              </a:solidFill>
              <a:round/>
            </a:ln>
            <a:effectLst/>
          </c:spPr>
          <c:marker>
            <c:symbol val="x"/>
            <c:size val="4"/>
            <c:spPr>
              <a:noFill/>
              <a:ln w="19012">
                <a:solidFill>
                  <a:schemeClr val="accent2"/>
                </a:solidFill>
              </a:ln>
              <a:effectLst/>
            </c:spPr>
          </c:marker>
          <c:cat>
            <c:strRef>
              <c:f>Sheet1!$A$2:$A$14</c:f>
              <c:strCache>
                <c:ptCount val="13"/>
                <c:pt idx="0">
                  <c:v>Ian. 2018</c:v>
                </c:pt>
                <c:pt idx="1">
                  <c:v>Feb.</c:v>
                </c:pt>
                <c:pt idx="2">
                  <c:v>Mar.</c:v>
                </c:pt>
                <c:pt idx="3">
                  <c:v>Apr.</c:v>
                </c:pt>
                <c:pt idx="4">
                  <c:v>Mai</c:v>
                </c:pt>
                <c:pt idx="5">
                  <c:v>Iun.</c:v>
                </c:pt>
                <c:pt idx="6">
                  <c:v>Iul.</c:v>
                </c:pt>
                <c:pt idx="7">
                  <c:v>Aug.</c:v>
                </c:pt>
                <c:pt idx="8">
                  <c:v>Sep.</c:v>
                </c:pt>
                <c:pt idx="9">
                  <c:v>Oct.</c:v>
                </c:pt>
                <c:pt idx="10">
                  <c:v>Noiem.</c:v>
                </c:pt>
                <c:pt idx="11">
                  <c:v>Dec.</c:v>
                </c:pt>
                <c:pt idx="12">
                  <c:v>Ian. 2019</c:v>
                </c:pt>
              </c:strCache>
            </c:strRef>
          </c:cat>
          <c:val>
            <c:numRef>
              <c:f>Sheet1!$C$2:$C$14</c:f>
              <c:numCache>
                <c:formatCode>General</c:formatCode>
                <c:ptCount val="13"/>
                <c:pt idx="0" formatCode="0.0">
                  <c:v>5.2</c:v>
                </c:pt>
                <c:pt idx="1">
                  <c:v>4.8</c:v>
                </c:pt>
                <c:pt idx="2" formatCode="0.0">
                  <c:v>4</c:v>
                </c:pt>
                <c:pt idx="3">
                  <c:v>3.5</c:v>
                </c:pt>
                <c:pt idx="4">
                  <c:v>3.5</c:v>
                </c:pt>
                <c:pt idx="5">
                  <c:v>3.7</c:v>
                </c:pt>
                <c:pt idx="6">
                  <c:v>3.4</c:v>
                </c:pt>
                <c:pt idx="7">
                  <c:v>3.1</c:v>
                </c:pt>
                <c:pt idx="8">
                  <c:v>3.1</c:v>
                </c:pt>
                <c:pt idx="9" formatCode="0.0">
                  <c:v>3</c:v>
                </c:pt>
                <c:pt idx="10">
                  <c:v>2.7</c:v>
                </c:pt>
                <c:pt idx="11">
                  <c:v>2.2999999999999998</c:v>
                </c:pt>
                <c:pt idx="12" formatCode="0.0">
                  <c:v>4</c:v>
                </c:pt>
              </c:numCache>
            </c:numRef>
          </c:val>
          <c:smooth val="0"/>
          <c:extLst xmlns:c16r2="http://schemas.microsoft.com/office/drawing/2015/06/chart">
            <c:ext xmlns:c16="http://schemas.microsoft.com/office/drawing/2014/chart" uri="{C3380CC4-5D6E-409C-BE32-E72D297353CC}">
              <c16:uniqueId val="{00000001-7CE8-45DD-9C98-988872252390}"/>
            </c:ext>
          </c:extLst>
        </c:ser>
        <c:ser>
          <c:idx val="2"/>
          <c:order val="2"/>
          <c:tx>
            <c:strRef>
              <c:f>Sheet1!$D$1</c:f>
              <c:strCache>
                <c:ptCount val="1"/>
                <c:pt idx="0">
                  <c:v>Rata inflaţiei exclusiv produse alimentare şi băuturi</c:v>
                </c:pt>
              </c:strCache>
            </c:strRef>
          </c:tx>
          <c:spPr>
            <a:ln w="28518" cap="rnd">
              <a:solidFill>
                <a:schemeClr val="accent3"/>
              </a:solidFill>
              <a:round/>
            </a:ln>
            <a:effectLst/>
          </c:spPr>
          <c:marker>
            <c:symbol val="circle"/>
            <c:size val="4"/>
            <c:spPr>
              <a:solidFill>
                <a:schemeClr val="accent3"/>
              </a:solidFill>
              <a:ln w="12675">
                <a:solidFill>
                  <a:schemeClr val="accent3"/>
                </a:solidFill>
              </a:ln>
              <a:effectLst/>
            </c:spPr>
          </c:marker>
          <c:cat>
            <c:strRef>
              <c:f>Sheet1!$A$2:$A$14</c:f>
              <c:strCache>
                <c:ptCount val="13"/>
                <c:pt idx="0">
                  <c:v>Ian. 2018</c:v>
                </c:pt>
                <c:pt idx="1">
                  <c:v>Feb.</c:v>
                </c:pt>
                <c:pt idx="2">
                  <c:v>Mar.</c:v>
                </c:pt>
                <c:pt idx="3">
                  <c:v>Apr.</c:v>
                </c:pt>
                <c:pt idx="4">
                  <c:v>Mai</c:v>
                </c:pt>
                <c:pt idx="5">
                  <c:v>Iun.</c:v>
                </c:pt>
                <c:pt idx="6">
                  <c:v>Iul.</c:v>
                </c:pt>
                <c:pt idx="7">
                  <c:v>Aug.</c:v>
                </c:pt>
                <c:pt idx="8">
                  <c:v>Sep.</c:v>
                </c:pt>
                <c:pt idx="9">
                  <c:v>Oct.</c:v>
                </c:pt>
                <c:pt idx="10">
                  <c:v>Noiem.</c:v>
                </c:pt>
                <c:pt idx="11">
                  <c:v>Dec.</c:v>
                </c:pt>
                <c:pt idx="12">
                  <c:v>Ian. 2019</c:v>
                </c:pt>
              </c:strCache>
            </c:strRef>
          </c:cat>
          <c:val>
            <c:numRef>
              <c:f>Sheet1!$D$2:$D$14</c:f>
              <c:numCache>
                <c:formatCode>General</c:formatCode>
                <c:ptCount val="13"/>
                <c:pt idx="0">
                  <c:v>4.4000000000000004</c:v>
                </c:pt>
                <c:pt idx="1">
                  <c:v>2.9</c:v>
                </c:pt>
                <c:pt idx="2" formatCode="0.0">
                  <c:v>2</c:v>
                </c:pt>
                <c:pt idx="3">
                  <c:v>1.6</c:v>
                </c:pt>
                <c:pt idx="4">
                  <c:v>1.7</c:v>
                </c:pt>
                <c:pt idx="5" formatCode="0.0">
                  <c:v>2</c:v>
                </c:pt>
                <c:pt idx="6">
                  <c:v>1.3</c:v>
                </c:pt>
                <c:pt idx="7">
                  <c:v>0.8</c:v>
                </c:pt>
                <c:pt idx="8">
                  <c:v>0.5</c:v>
                </c:pt>
                <c:pt idx="9">
                  <c:v>0.5</c:v>
                </c:pt>
                <c:pt idx="10">
                  <c:v>0.2</c:v>
                </c:pt>
                <c:pt idx="11" formatCode="0.0">
                  <c:v>0</c:v>
                </c:pt>
                <c:pt idx="12">
                  <c:v>1.6</c:v>
                </c:pt>
              </c:numCache>
            </c:numRef>
          </c:val>
          <c:smooth val="0"/>
          <c:extLst xmlns:c16r2="http://schemas.microsoft.com/office/drawing/2015/06/chart">
            <c:ext xmlns:c16="http://schemas.microsoft.com/office/drawing/2014/chart" uri="{C3380CC4-5D6E-409C-BE32-E72D297353CC}">
              <c16:uniqueId val="{00000002-7CE8-45DD-9C98-988872252390}"/>
            </c:ext>
          </c:extLst>
        </c:ser>
        <c:ser>
          <c:idx val="3"/>
          <c:order val="3"/>
          <c:tx>
            <c:strRef>
              <c:f>Sheet1!$E$1</c:f>
              <c:strCache>
                <c:ptCount val="1"/>
                <c:pt idx="0">
                  <c:v>Rata inflaţiei exclusiv produse şi servicii cu preţuri reglementate </c:v>
                </c:pt>
              </c:strCache>
            </c:strRef>
          </c:tx>
          <c:spPr>
            <a:ln w="28518" cap="rnd">
              <a:solidFill>
                <a:schemeClr val="accent4"/>
              </a:solidFill>
              <a:round/>
            </a:ln>
            <a:effectLst/>
          </c:spPr>
          <c:marker>
            <c:symbol val="triangle"/>
            <c:size val="4"/>
            <c:spPr>
              <a:solidFill>
                <a:schemeClr val="accent4"/>
              </a:solidFill>
              <a:ln w="12675">
                <a:solidFill>
                  <a:schemeClr val="accent4"/>
                </a:solidFill>
              </a:ln>
              <a:effectLst/>
            </c:spPr>
          </c:marker>
          <c:cat>
            <c:strRef>
              <c:f>Sheet1!$A$2:$A$14</c:f>
              <c:strCache>
                <c:ptCount val="13"/>
                <c:pt idx="0">
                  <c:v>Ian. 2018</c:v>
                </c:pt>
                <c:pt idx="1">
                  <c:v>Feb.</c:v>
                </c:pt>
                <c:pt idx="2">
                  <c:v>Mar.</c:v>
                </c:pt>
                <c:pt idx="3">
                  <c:v>Apr.</c:v>
                </c:pt>
                <c:pt idx="4">
                  <c:v>Mai</c:v>
                </c:pt>
                <c:pt idx="5">
                  <c:v>Iun.</c:v>
                </c:pt>
                <c:pt idx="6">
                  <c:v>Iul.</c:v>
                </c:pt>
                <c:pt idx="7">
                  <c:v>Aug.</c:v>
                </c:pt>
                <c:pt idx="8">
                  <c:v>Sep.</c:v>
                </c:pt>
                <c:pt idx="9">
                  <c:v>Oct.</c:v>
                </c:pt>
                <c:pt idx="10">
                  <c:v>Noiem.</c:v>
                </c:pt>
                <c:pt idx="11">
                  <c:v>Dec.</c:v>
                </c:pt>
                <c:pt idx="12">
                  <c:v>Ian. 2019</c:v>
                </c:pt>
              </c:strCache>
            </c:strRef>
          </c:cat>
          <c:val>
            <c:numRef>
              <c:f>Sheet1!$E$2:$E$14</c:f>
              <c:numCache>
                <c:formatCode>General</c:formatCode>
                <c:ptCount val="13"/>
                <c:pt idx="0">
                  <c:v>6.7</c:v>
                </c:pt>
                <c:pt idx="1">
                  <c:v>6.3</c:v>
                </c:pt>
                <c:pt idx="2">
                  <c:v>6.4</c:v>
                </c:pt>
                <c:pt idx="3">
                  <c:v>5.3</c:v>
                </c:pt>
                <c:pt idx="4">
                  <c:v>4.2</c:v>
                </c:pt>
                <c:pt idx="5" formatCode="0.0">
                  <c:v>5</c:v>
                </c:pt>
                <c:pt idx="6">
                  <c:v>5.2</c:v>
                </c:pt>
                <c:pt idx="7">
                  <c:v>5.6</c:v>
                </c:pt>
                <c:pt idx="8">
                  <c:v>4.5999999999999996</c:v>
                </c:pt>
                <c:pt idx="9">
                  <c:v>3.1</c:v>
                </c:pt>
                <c:pt idx="10">
                  <c:v>2.7</c:v>
                </c:pt>
                <c:pt idx="11">
                  <c:v>2.6</c:v>
                </c:pt>
                <c:pt idx="12">
                  <c:v>3.6</c:v>
                </c:pt>
              </c:numCache>
            </c:numRef>
          </c:val>
          <c:smooth val="0"/>
          <c:extLst xmlns:c16r2="http://schemas.microsoft.com/office/drawing/2015/06/chart">
            <c:ext xmlns:c16="http://schemas.microsoft.com/office/drawing/2014/chart" uri="{C3380CC4-5D6E-409C-BE32-E72D297353CC}">
              <c16:uniqueId val="{00000003-7CE8-45DD-9C98-988872252390}"/>
            </c:ext>
          </c:extLst>
        </c:ser>
        <c:ser>
          <c:idx val="4"/>
          <c:order val="4"/>
          <c:tx>
            <c:strRef>
              <c:f>Sheet1!$F$1</c:f>
              <c:strCache>
                <c:ptCount val="1"/>
                <c:pt idx="0">
                  <c:v>Rata inflaţiei  exclusiv combustibil </c:v>
                </c:pt>
              </c:strCache>
            </c:strRef>
          </c:tx>
          <c:spPr>
            <a:ln w="28518" cap="rnd">
              <a:solidFill>
                <a:schemeClr val="accent1"/>
              </a:solidFill>
              <a:round/>
            </a:ln>
            <a:effectLst/>
          </c:spPr>
          <c:marker>
            <c:symbol val="diamond"/>
            <c:size val="4"/>
            <c:spPr>
              <a:solidFill>
                <a:schemeClr val="accent1"/>
              </a:solidFill>
              <a:ln w="12675">
                <a:solidFill>
                  <a:schemeClr val="accent1"/>
                </a:solidFill>
              </a:ln>
              <a:effectLst/>
            </c:spPr>
          </c:marker>
          <c:cat>
            <c:strRef>
              <c:f>Sheet1!$A$2:$A$14</c:f>
              <c:strCache>
                <c:ptCount val="13"/>
                <c:pt idx="0">
                  <c:v>Ian. 2018</c:v>
                </c:pt>
                <c:pt idx="1">
                  <c:v>Feb.</c:v>
                </c:pt>
                <c:pt idx="2">
                  <c:v>Mar.</c:v>
                </c:pt>
                <c:pt idx="3">
                  <c:v>Apr.</c:v>
                </c:pt>
                <c:pt idx="4">
                  <c:v>Mai</c:v>
                </c:pt>
                <c:pt idx="5">
                  <c:v>Iun.</c:v>
                </c:pt>
                <c:pt idx="6">
                  <c:v>Iul.</c:v>
                </c:pt>
                <c:pt idx="7">
                  <c:v>Aug.</c:v>
                </c:pt>
                <c:pt idx="8">
                  <c:v>Sep.</c:v>
                </c:pt>
                <c:pt idx="9">
                  <c:v>Oct.</c:v>
                </c:pt>
                <c:pt idx="10">
                  <c:v>Noiem.</c:v>
                </c:pt>
                <c:pt idx="11">
                  <c:v>Dec.</c:v>
                </c:pt>
                <c:pt idx="12">
                  <c:v>Ian. 2019</c:v>
                </c:pt>
              </c:strCache>
            </c:strRef>
          </c:cat>
          <c:val>
            <c:numRef>
              <c:f>Sheet1!$F$2:$F$14</c:f>
              <c:numCache>
                <c:formatCode>General</c:formatCode>
                <c:ptCount val="13"/>
                <c:pt idx="0">
                  <c:v>6.2</c:v>
                </c:pt>
                <c:pt idx="1">
                  <c:v>5.2</c:v>
                </c:pt>
                <c:pt idx="2">
                  <c:v>4.8</c:v>
                </c:pt>
                <c:pt idx="3">
                  <c:v>3.7</c:v>
                </c:pt>
                <c:pt idx="4">
                  <c:v>2.4</c:v>
                </c:pt>
                <c:pt idx="5">
                  <c:v>2.7</c:v>
                </c:pt>
                <c:pt idx="6">
                  <c:v>2.2999999999999998</c:v>
                </c:pt>
                <c:pt idx="7">
                  <c:v>2.8</c:v>
                </c:pt>
                <c:pt idx="8" formatCode="0.0">
                  <c:v>2</c:v>
                </c:pt>
                <c:pt idx="9">
                  <c:v>0.7</c:v>
                </c:pt>
                <c:pt idx="10">
                  <c:v>0.5</c:v>
                </c:pt>
                <c:pt idx="11">
                  <c:v>0.5</c:v>
                </c:pt>
                <c:pt idx="12" formatCode="0.0">
                  <c:v>2</c:v>
                </c:pt>
              </c:numCache>
            </c:numRef>
          </c:val>
          <c:smooth val="0"/>
          <c:extLst xmlns:c16r2="http://schemas.microsoft.com/office/drawing/2015/06/chart">
            <c:ext xmlns:c16="http://schemas.microsoft.com/office/drawing/2014/chart" uri="{C3380CC4-5D6E-409C-BE32-E72D297353CC}">
              <c16:uniqueId val="{00000004-7CE8-45DD-9C98-988872252390}"/>
            </c:ext>
          </c:extLst>
        </c:ser>
        <c:dLbls>
          <c:showLegendKey val="0"/>
          <c:showVal val="0"/>
          <c:showCatName val="0"/>
          <c:showSerName val="0"/>
          <c:showPercent val="0"/>
          <c:showBubbleSize val="0"/>
        </c:dLbls>
        <c:marker val="1"/>
        <c:smooth val="0"/>
        <c:axId val="585179120"/>
        <c:axId val="585170104"/>
      </c:lineChart>
      <c:catAx>
        <c:axId val="585179120"/>
        <c:scaling>
          <c:orientation val="minMax"/>
        </c:scaling>
        <c:delete val="0"/>
        <c:axPos val="b"/>
        <c:numFmt formatCode="General" sourceLinked="1"/>
        <c:majorTickMark val="none"/>
        <c:minorTickMark val="none"/>
        <c:tickLblPos val="nextTo"/>
        <c:spPr>
          <a:noFill/>
          <a:ln w="9506"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ysClr val="windowText" lastClr="000000"/>
                </a:solidFill>
                <a:latin typeface="+mn-lt"/>
                <a:ea typeface="+mn-ea"/>
                <a:cs typeface="+mn-cs"/>
              </a:defRPr>
            </a:pPr>
            <a:endParaRPr lang="en-US"/>
          </a:p>
        </c:txPr>
        <c:crossAx val="585170104"/>
        <c:crosses val="autoZero"/>
        <c:auto val="1"/>
        <c:lblAlgn val="ctr"/>
        <c:lblOffset val="100"/>
        <c:noMultiLvlLbl val="0"/>
      </c:catAx>
      <c:valAx>
        <c:axId val="585170104"/>
        <c:scaling>
          <c:orientation val="minMax"/>
          <c:max val="8"/>
          <c:min val="0"/>
        </c:scaling>
        <c:delete val="0"/>
        <c:axPos val="l"/>
        <c:majorGridlines>
          <c:spPr>
            <a:ln w="9506" cap="flat" cmpd="sng" algn="ctr">
              <a:solidFill>
                <a:schemeClr val="tx1">
                  <a:lumMod val="15000"/>
                  <a:lumOff val="85000"/>
                </a:schemeClr>
              </a:solidFill>
              <a:round/>
            </a:ln>
            <a:effectLst/>
          </c:spPr>
        </c:majorGridlines>
        <c:numFmt formatCode="0.0" sourceLinked="1"/>
        <c:majorTickMark val="none"/>
        <c:minorTickMark val="none"/>
        <c:tickLblPos val="nextTo"/>
        <c:spPr>
          <a:ln w="6337">
            <a:noFill/>
          </a:ln>
        </c:spPr>
        <c:txPr>
          <a:bodyPr rot="-60000000" spcFirstLastPara="1" vertOverflow="ellipsis" vert="horz" wrap="square" anchor="ctr" anchorCtr="1"/>
          <a:lstStyle/>
          <a:p>
            <a:pPr>
              <a:defRPr sz="898" b="0" i="0" u="none" strike="noStrike" kern="1200" baseline="0">
                <a:solidFill>
                  <a:sysClr val="windowText" lastClr="000000"/>
                </a:solidFill>
                <a:latin typeface="+mn-lt"/>
                <a:ea typeface="+mn-ea"/>
                <a:cs typeface="+mn-cs"/>
              </a:defRPr>
            </a:pPr>
            <a:endParaRPr lang="en-US"/>
          </a:p>
        </c:txPr>
        <c:crossAx val="585179120"/>
        <c:crosses val="autoZero"/>
        <c:crossBetween val="between"/>
        <c:majorUnit val="1"/>
      </c:valAx>
      <c:spPr>
        <a:noFill/>
        <a:ln w="25349">
          <a:noFill/>
        </a:ln>
      </c:spPr>
    </c:plotArea>
    <c:legend>
      <c:legendPos val="b"/>
      <c:layout>
        <c:manualLayout>
          <c:xMode val="edge"/>
          <c:yMode val="edge"/>
          <c:x val="6.3277162010799609E-2"/>
          <c:y val="0.6660257156571382"/>
          <c:w val="0.89574853302572843"/>
          <c:h val="0.33161269238232383"/>
        </c:manualLayout>
      </c:layout>
      <c:overlay val="0"/>
      <c:spPr>
        <a:noFill/>
        <a:ln w="25349">
          <a:noFill/>
        </a:ln>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06" cap="flat" cmpd="sng" algn="ctr">
      <a:noFill/>
      <a:round/>
    </a:ln>
    <a:effectLst/>
  </c:spPr>
  <c:txPr>
    <a:bodyPr/>
    <a:lstStyle/>
    <a:p>
      <a:pPr>
        <a:defRPr/>
      </a:pPr>
      <a:endParaRPr lang="en-US"/>
    </a:p>
  </c:tx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'0_SHEET'!$A$80</c:f>
              <c:strCache>
                <c:ptCount val="1"/>
                <c:pt idx="0">
                  <c:v>Masini și utilaje</c:v>
                </c:pt>
              </c:strCache>
            </c:strRef>
          </c:tx>
          <c:invertIfNegative val="0"/>
          <c:dLbls>
            <c:spPr>
              <a:solidFill>
                <a:schemeClr val="bg1"/>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'0_SHEET'!$D$54:$E$54</c:f>
              <c:numCache>
                <c:formatCode>General</c:formatCode>
                <c:ptCount val="2"/>
                <c:pt idx="0">
                  <c:v>2017</c:v>
                </c:pt>
                <c:pt idx="1">
                  <c:v>2018</c:v>
                </c:pt>
              </c:numCache>
            </c:numRef>
          </c:cat>
          <c:val>
            <c:numRef>
              <c:f>'0_SHEET'!$D$80:$E$80</c:f>
              <c:numCache>
                <c:formatCode>0.0</c:formatCode>
                <c:ptCount val="2"/>
                <c:pt idx="0">
                  <c:v>33.057469614836776</c:v>
                </c:pt>
                <c:pt idx="1">
                  <c:v>30.173707164765293</c:v>
                </c:pt>
              </c:numCache>
            </c:numRef>
          </c:val>
          <c:extLst xmlns:c16r2="http://schemas.microsoft.com/office/drawing/2015/06/chart">
            <c:ext xmlns:c16="http://schemas.microsoft.com/office/drawing/2014/chart" uri="{C3380CC4-5D6E-409C-BE32-E72D297353CC}">
              <c16:uniqueId val="{00000000-1E6F-40CC-B115-3A2B18F4AA93}"/>
            </c:ext>
          </c:extLst>
        </c:ser>
        <c:ser>
          <c:idx val="1"/>
          <c:order val="1"/>
          <c:tx>
            <c:strRef>
              <c:f>'0_SHEET'!$A$81</c:f>
              <c:strCache>
                <c:ptCount val="1"/>
                <c:pt idx="0">
                  <c:v>Constructii speciale (ingineresti)</c:v>
                </c:pt>
              </c:strCache>
            </c:strRef>
          </c:tx>
          <c:spPr>
            <a:pattFill prst="smCheck">
              <a:fgClr>
                <a:schemeClr val="accent1"/>
              </a:fgClr>
              <a:bgClr>
                <a:schemeClr val="bg1"/>
              </a:bgClr>
            </a:pattFill>
            <a:ln>
              <a:solidFill>
                <a:schemeClr val="tx1">
                  <a:lumMod val="15000"/>
                  <a:lumOff val="85000"/>
                </a:schemeClr>
              </a:solidFill>
            </a:ln>
          </c:spPr>
          <c:invertIfNegative val="0"/>
          <c:dLbls>
            <c:spPr>
              <a:solidFill>
                <a:schemeClr val="bg1"/>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'0_SHEET'!$D$54:$E$54</c:f>
              <c:numCache>
                <c:formatCode>General</c:formatCode>
                <c:ptCount val="2"/>
                <c:pt idx="0">
                  <c:v>2017</c:v>
                </c:pt>
                <c:pt idx="1">
                  <c:v>2018</c:v>
                </c:pt>
              </c:numCache>
            </c:numRef>
          </c:cat>
          <c:val>
            <c:numRef>
              <c:f>'0_SHEET'!$D$81:$E$81</c:f>
              <c:numCache>
                <c:formatCode>0.0</c:formatCode>
                <c:ptCount val="2"/>
                <c:pt idx="0">
                  <c:v>17.61217473914969</c:v>
                </c:pt>
                <c:pt idx="1">
                  <c:v>20.767651017205427</c:v>
                </c:pt>
              </c:numCache>
            </c:numRef>
          </c:val>
          <c:extLst xmlns:c16r2="http://schemas.microsoft.com/office/drawing/2015/06/chart">
            <c:ext xmlns:c16="http://schemas.microsoft.com/office/drawing/2014/chart" uri="{C3380CC4-5D6E-409C-BE32-E72D297353CC}">
              <c16:uniqueId val="{00000001-1E6F-40CC-B115-3A2B18F4AA93}"/>
            </c:ext>
          </c:extLst>
        </c:ser>
        <c:ser>
          <c:idx val="2"/>
          <c:order val="2"/>
          <c:tx>
            <c:strRef>
              <c:f>'0_SHEET'!$A$82</c:f>
              <c:strCache>
                <c:ptCount val="1"/>
                <c:pt idx="0">
                  <c:v>Cladiri nerezidentiale </c:v>
                </c:pt>
              </c:strCache>
            </c:strRef>
          </c:tx>
          <c:spPr>
            <a:pattFill prst="pct5">
              <a:fgClr>
                <a:schemeClr val="accent1"/>
              </a:fgClr>
              <a:bgClr>
                <a:schemeClr val="bg1"/>
              </a:bgClr>
            </a:pattFill>
            <a:ln>
              <a:solidFill>
                <a:schemeClr val="tx1">
                  <a:lumMod val="15000"/>
                  <a:lumOff val="85000"/>
                </a:schemeClr>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'0_SHEET'!$D$54:$E$54</c:f>
              <c:numCache>
                <c:formatCode>General</c:formatCode>
                <c:ptCount val="2"/>
                <c:pt idx="0">
                  <c:v>2017</c:v>
                </c:pt>
                <c:pt idx="1">
                  <c:v>2018</c:v>
                </c:pt>
              </c:numCache>
            </c:numRef>
          </c:cat>
          <c:val>
            <c:numRef>
              <c:f>'0_SHEET'!$D$82:$E$82</c:f>
              <c:numCache>
                <c:formatCode>0.0</c:formatCode>
                <c:ptCount val="2"/>
                <c:pt idx="0">
                  <c:v>18.835183464691976</c:v>
                </c:pt>
                <c:pt idx="1">
                  <c:v>18.842687402987835</c:v>
                </c:pt>
              </c:numCache>
            </c:numRef>
          </c:val>
          <c:extLst xmlns:c16r2="http://schemas.microsoft.com/office/drawing/2015/06/chart">
            <c:ext xmlns:c16="http://schemas.microsoft.com/office/drawing/2014/chart" uri="{C3380CC4-5D6E-409C-BE32-E72D297353CC}">
              <c16:uniqueId val="{00000002-1E6F-40CC-B115-3A2B18F4AA93}"/>
            </c:ext>
          </c:extLst>
        </c:ser>
        <c:ser>
          <c:idx val="3"/>
          <c:order val="3"/>
          <c:tx>
            <c:strRef>
              <c:f>'0_SHEET'!$A$83</c:f>
              <c:strCache>
                <c:ptCount val="1"/>
                <c:pt idx="0">
                  <c:v>Cladiri rezidentiale (de locuit) </c:v>
                </c:pt>
              </c:strCache>
            </c:strRef>
          </c:tx>
          <c:spPr>
            <a:pattFill prst="trellis">
              <a:fgClr>
                <a:schemeClr val="accent1"/>
              </a:fgClr>
              <a:bgClr>
                <a:schemeClr val="bg1"/>
              </a:bgClr>
            </a:pattFill>
            <a:ln>
              <a:solidFill>
                <a:schemeClr val="tx1">
                  <a:lumMod val="15000"/>
                  <a:lumOff val="85000"/>
                </a:schemeClr>
              </a:solidFill>
            </a:ln>
          </c:spPr>
          <c:invertIfNegative val="0"/>
          <c:dLbls>
            <c:spPr>
              <a:solidFill>
                <a:schemeClr val="bg1"/>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'0_SHEET'!$D$54:$E$54</c:f>
              <c:numCache>
                <c:formatCode>General</c:formatCode>
                <c:ptCount val="2"/>
                <c:pt idx="0">
                  <c:v>2017</c:v>
                </c:pt>
                <c:pt idx="1">
                  <c:v>2018</c:v>
                </c:pt>
              </c:numCache>
            </c:numRef>
          </c:cat>
          <c:val>
            <c:numRef>
              <c:f>'0_SHEET'!$D$83:$E$83</c:f>
              <c:numCache>
                <c:formatCode>0.0</c:formatCode>
                <c:ptCount val="2"/>
                <c:pt idx="0">
                  <c:v>14.47591765875284</c:v>
                </c:pt>
                <c:pt idx="1">
                  <c:v>13.54199690935379</c:v>
                </c:pt>
              </c:numCache>
            </c:numRef>
          </c:val>
          <c:extLst xmlns:c16r2="http://schemas.microsoft.com/office/drawing/2015/06/chart">
            <c:ext xmlns:c16="http://schemas.microsoft.com/office/drawing/2014/chart" uri="{C3380CC4-5D6E-409C-BE32-E72D297353CC}">
              <c16:uniqueId val="{00000003-1E6F-40CC-B115-3A2B18F4AA93}"/>
            </c:ext>
          </c:extLst>
        </c:ser>
        <c:ser>
          <c:idx val="4"/>
          <c:order val="4"/>
          <c:tx>
            <c:strRef>
              <c:f>'0_SHEET'!$A$84</c:f>
              <c:strCache>
                <c:ptCount val="1"/>
                <c:pt idx="0">
                  <c:v>Mijloace de transport</c:v>
                </c:pt>
              </c:strCache>
            </c:strRef>
          </c:tx>
          <c:spPr>
            <a:solidFill>
              <a:schemeClr val="tx2">
                <a:lumMod val="40000"/>
                <a:lumOff val="60000"/>
              </a:schemeClr>
            </a:solidFill>
            <a:ln>
              <a:solidFill>
                <a:schemeClr val="tx1">
                  <a:lumMod val="15000"/>
                  <a:lumOff val="85000"/>
                </a:schemeClr>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'0_SHEET'!$D$54:$E$54</c:f>
              <c:numCache>
                <c:formatCode>General</c:formatCode>
                <c:ptCount val="2"/>
                <c:pt idx="0">
                  <c:v>2017</c:v>
                </c:pt>
                <c:pt idx="1">
                  <c:v>2018</c:v>
                </c:pt>
              </c:numCache>
            </c:numRef>
          </c:cat>
          <c:val>
            <c:numRef>
              <c:f>'0_SHEET'!$D$84:$E$84</c:f>
              <c:numCache>
                <c:formatCode>0.0</c:formatCode>
                <c:ptCount val="2"/>
                <c:pt idx="0">
                  <c:v>9.0167956630159356</c:v>
                </c:pt>
                <c:pt idx="1">
                  <c:v>9.2024715192705031</c:v>
                </c:pt>
              </c:numCache>
            </c:numRef>
          </c:val>
          <c:extLst xmlns:c16r2="http://schemas.microsoft.com/office/drawing/2015/06/chart">
            <c:ext xmlns:c16="http://schemas.microsoft.com/office/drawing/2014/chart" uri="{C3380CC4-5D6E-409C-BE32-E72D297353CC}">
              <c16:uniqueId val="{00000004-1E6F-40CC-B115-3A2B18F4AA93}"/>
            </c:ext>
          </c:extLst>
        </c:ser>
        <c:ser>
          <c:idx val="5"/>
          <c:order val="5"/>
          <c:tx>
            <c:strRef>
              <c:f>'0_SHEET'!$A$85</c:f>
              <c:strCache>
                <c:ptCount val="1"/>
                <c:pt idx="0">
                  <c:v>Terenuri</c:v>
                </c:pt>
              </c:strCache>
            </c:strRef>
          </c:tx>
          <c:spPr>
            <a:pattFill prst="narVert">
              <a:fgClr>
                <a:schemeClr val="accent1"/>
              </a:fgClr>
              <a:bgClr>
                <a:schemeClr val="bg1"/>
              </a:bgClr>
            </a:pattFill>
            <a:ln>
              <a:solidFill>
                <a:schemeClr val="tx1">
                  <a:lumMod val="15000"/>
                  <a:lumOff val="85000"/>
                </a:schemeClr>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'0_SHEET'!$D$54:$E$54</c:f>
              <c:numCache>
                <c:formatCode>General</c:formatCode>
                <c:ptCount val="2"/>
                <c:pt idx="0">
                  <c:v>2017</c:v>
                </c:pt>
                <c:pt idx="1">
                  <c:v>2018</c:v>
                </c:pt>
              </c:numCache>
            </c:numRef>
          </c:cat>
          <c:val>
            <c:numRef>
              <c:f>'0_SHEET'!$D$85:$E$85</c:f>
              <c:numCache>
                <c:formatCode>0.0</c:formatCode>
                <c:ptCount val="2"/>
                <c:pt idx="0">
                  <c:v>2.6874131476907612</c:v>
                </c:pt>
                <c:pt idx="1">
                  <c:v>3.3358681545847721</c:v>
                </c:pt>
              </c:numCache>
            </c:numRef>
          </c:val>
          <c:extLst xmlns:c16r2="http://schemas.microsoft.com/office/drawing/2015/06/chart">
            <c:ext xmlns:c16="http://schemas.microsoft.com/office/drawing/2014/chart" uri="{C3380CC4-5D6E-409C-BE32-E72D297353CC}">
              <c16:uniqueId val="{00000005-1E6F-40CC-B115-3A2B18F4AA93}"/>
            </c:ext>
          </c:extLst>
        </c:ser>
        <c:ser>
          <c:idx val="6"/>
          <c:order val="6"/>
          <c:tx>
            <c:strRef>
              <c:f>'0_SHEET'!$A$86</c:f>
              <c:strCache>
                <c:ptCount val="1"/>
                <c:pt idx="0">
                  <c:v>Programe informatice și alte imobilizări necorporale</c:v>
                </c:pt>
              </c:strCache>
            </c:strRef>
          </c:tx>
          <c:invertIfNegative val="0"/>
          <c:cat>
            <c:numRef>
              <c:f>'0_SHEET'!$D$54:$E$54</c:f>
              <c:numCache>
                <c:formatCode>General</c:formatCode>
                <c:ptCount val="2"/>
                <c:pt idx="0">
                  <c:v>2017</c:v>
                </c:pt>
                <c:pt idx="1">
                  <c:v>2018</c:v>
                </c:pt>
              </c:numCache>
            </c:numRef>
          </c:cat>
          <c:val>
            <c:numRef>
              <c:f>'0_SHEET'!$D$86:$E$86</c:f>
              <c:numCache>
                <c:formatCode>0.0</c:formatCode>
                <c:ptCount val="2"/>
                <c:pt idx="0">
                  <c:v>1.6683420837177774</c:v>
                </c:pt>
                <c:pt idx="1">
                  <c:v>1.9992271815252745</c:v>
                </c:pt>
              </c:numCache>
            </c:numRef>
          </c:val>
          <c:extLst xmlns:c16r2="http://schemas.microsoft.com/office/drawing/2015/06/chart">
            <c:ext xmlns:c16="http://schemas.microsoft.com/office/drawing/2014/chart" uri="{C3380CC4-5D6E-409C-BE32-E72D297353CC}">
              <c16:uniqueId val="{00000006-1E6F-40CC-B115-3A2B18F4AA93}"/>
            </c:ext>
          </c:extLst>
        </c:ser>
        <c:ser>
          <c:idx val="7"/>
          <c:order val="7"/>
          <c:tx>
            <c:strRef>
              <c:f>'0_SHEET'!$A$87</c:f>
              <c:strCache>
                <c:ptCount val="1"/>
                <c:pt idx="0">
                  <c:v>Alte mijloace fixe</c:v>
                </c:pt>
              </c:strCache>
            </c:strRef>
          </c:tx>
          <c:spPr>
            <a:pattFill prst="horzBrick">
              <a:fgClr>
                <a:schemeClr val="accent1"/>
              </a:fgClr>
              <a:bgClr>
                <a:schemeClr val="bg1"/>
              </a:bgClr>
            </a:pattFill>
            <a:ln>
              <a:solidFill>
                <a:schemeClr val="tx1">
                  <a:lumMod val="15000"/>
                  <a:lumOff val="85000"/>
                </a:schemeClr>
              </a:solidFill>
            </a:ln>
          </c:spPr>
          <c:invertIfNegative val="0"/>
          <c:cat>
            <c:numRef>
              <c:f>'0_SHEET'!$D$54:$E$54</c:f>
              <c:numCache>
                <c:formatCode>General</c:formatCode>
                <c:ptCount val="2"/>
                <c:pt idx="0">
                  <c:v>2017</c:v>
                </c:pt>
                <c:pt idx="1">
                  <c:v>2018</c:v>
                </c:pt>
              </c:numCache>
            </c:numRef>
          </c:cat>
          <c:val>
            <c:numRef>
              <c:f>'0_SHEET'!$D$87:$E$87</c:f>
              <c:numCache>
                <c:formatCode>0.0</c:formatCode>
                <c:ptCount val="2"/>
                <c:pt idx="0">
                  <c:v>1.4955861919344973</c:v>
                </c:pt>
                <c:pt idx="1">
                  <c:v>1.5058798112827037</c:v>
                </c:pt>
              </c:numCache>
            </c:numRef>
          </c:val>
          <c:extLst xmlns:c16r2="http://schemas.microsoft.com/office/drawing/2015/06/chart">
            <c:ext xmlns:c16="http://schemas.microsoft.com/office/drawing/2014/chart" uri="{C3380CC4-5D6E-409C-BE32-E72D297353CC}">
              <c16:uniqueId val="{00000007-1E6F-40CC-B115-3A2B18F4AA93}"/>
            </c:ext>
          </c:extLst>
        </c:ser>
        <c:ser>
          <c:idx val="8"/>
          <c:order val="8"/>
          <c:tx>
            <c:strRef>
              <c:f>'0_SHEET'!$A$88</c:f>
              <c:strCache>
                <c:ptCount val="1"/>
                <c:pt idx="0">
                  <c:v>Active biologice imobilizate</c:v>
                </c:pt>
              </c:strCache>
            </c:strRef>
          </c:tx>
          <c:spPr>
            <a:pattFill prst="solidDmnd">
              <a:fgClr>
                <a:schemeClr val="tx2">
                  <a:lumMod val="40000"/>
                  <a:lumOff val="60000"/>
                </a:schemeClr>
              </a:fgClr>
              <a:bgClr>
                <a:schemeClr val="bg1"/>
              </a:bgClr>
            </a:pattFill>
          </c:spPr>
          <c:invertIfNegative val="0"/>
          <c:cat>
            <c:numRef>
              <c:f>'0_SHEET'!$D$54:$E$54</c:f>
              <c:numCache>
                <c:formatCode>General</c:formatCode>
                <c:ptCount val="2"/>
                <c:pt idx="0">
                  <c:v>2017</c:v>
                </c:pt>
                <c:pt idx="1">
                  <c:v>2018</c:v>
                </c:pt>
              </c:numCache>
            </c:numRef>
          </c:cat>
          <c:val>
            <c:numRef>
              <c:f>'0_SHEET'!$D$88:$E$88</c:f>
              <c:numCache>
                <c:formatCode>0.0</c:formatCode>
                <c:ptCount val="2"/>
                <c:pt idx="0">
                  <c:v>1.1254613326432397</c:v>
                </c:pt>
                <c:pt idx="1">
                  <c:v>0.63039727669777212</c:v>
                </c:pt>
              </c:numCache>
            </c:numRef>
          </c:val>
          <c:extLst xmlns:c16r2="http://schemas.microsoft.com/office/drawing/2015/06/chart">
            <c:ext xmlns:c16="http://schemas.microsoft.com/office/drawing/2014/chart" uri="{C3380CC4-5D6E-409C-BE32-E72D297353CC}">
              <c16:uniqueId val="{00000008-1E6F-40CC-B115-3A2B18F4AA93}"/>
            </c:ext>
          </c:extLst>
        </c:ser>
        <c:dLbls>
          <c:showLegendKey val="0"/>
          <c:showVal val="0"/>
          <c:showCatName val="0"/>
          <c:showSerName val="0"/>
          <c:showPercent val="0"/>
          <c:showBubbleSize val="0"/>
        </c:dLbls>
        <c:gapWidth val="150"/>
        <c:overlap val="100"/>
        <c:axId val="665753064"/>
        <c:axId val="665761296"/>
      </c:barChart>
      <c:catAx>
        <c:axId val="665753064"/>
        <c:scaling>
          <c:orientation val="minMax"/>
        </c:scaling>
        <c:delete val="0"/>
        <c:axPos val="b"/>
        <c:numFmt formatCode="General" sourceLinked="1"/>
        <c:majorTickMark val="out"/>
        <c:minorTickMark val="none"/>
        <c:tickLblPos val="nextTo"/>
        <c:crossAx val="665761296"/>
        <c:crosses val="autoZero"/>
        <c:auto val="1"/>
        <c:lblAlgn val="ctr"/>
        <c:lblOffset val="100"/>
        <c:noMultiLvlLbl val="0"/>
      </c:catAx>
      <c:valAx>
        <c:axId val="665761296"/>
        <c:scaling>
          <c:orientation val="minMax"/>
        </c:scaling>
        <c:delete val="0"/>
        <c:axPos val="l"/>
        <c:majorGridlines>
          <c:spPr>
            <a:ln>
              <a:solidFill>
                <a:schemeClr val="bg1">
                  <a:lumMod val="95000"/>
                </a:schemeClr>
              </a:solidFill>
            </a:ln>
          </c:spPr>
        </c:majorGridlines>
        <c:numFmt formatCode="0%" sourceLinked="1"/>
        <c:majorTickMark val="out"/>
        <c:minorTickMark val="none"/>
        <c:tickLblPos val="nextTo"/>
        <c:spPr>
          <a:ln>
            <a:solidFill>
              <a:schemeClr val="tx1">
                <a:lumMod val="15000"/>
                <a:lumOff val="85000"/>
              </a:schemeClr>
            </a:solidFill>
          </a:ln>
        </c:spPr>
        <c:crossAx val="665753064"/>
        <c:crosses val="autoZero"/>
        <c:crossBetween val="between"/>
      </c:valAx>
    </c:plotArea>
    <c:legend>
      <c:legendPos val="r"/>
      <c:layout>
        <c:manualLayout>
          <c:xMode val="edge"/>
          <c:yMode val="edge"/>
          <c:x val="0.64799868766404201"/>
          <c:y val="6.4189632545931755E-2"/>
          <c:w val="0.34392016622922134"/>
          <c:h val="0.9358103674540682"/>
        </c:manualLayout>
      </c:layout>
      <c:overlay val="0"/>
    </c:legend>
    <c:plotVisOnly val="1"/>
    <c:dispBlanksAs val="gap"/>
    <c:showDLblsOverMax val="0"/>
  </c:chart>
  <c:spPr>
    <a:ln>
      <a:noFill/>
    </a:ln>
  </c:spPr>
  <c:txPr>
    <a:bodyPr/>
    <a:lstStyle/>
    <a:p>
      <a:pPr>
        <a:defRPr sz="700"/>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9.8291721489382991E-2"/>
          <c:y val="3.3979111012782372E-2"/>
          <c:w val="0.86778630545908741"/>
          <c:h val="0.68209180455621654"/>
        </c:manualLayout>
      </c:layout>
      <c:barChart>
        <c:barDir val="col"/>
        <c:grouping val="stacked"/>
        <c:varyColors val="0"/>
        <c:ser>
          <c:idx val="1"/>
          <c:order val="1"/>
          <c:tx>
            <c:strRef>
              <c:f>Grafice!$O$97</c:f>
              <c:strCache>
                <c:ptCount val="1"/>
                <c:pt idx="0">
                  <c:v>Feroviar</c:v>
                </c:pt>
              </c:strCache>
            </c:strRef>
          </c:tx>
          <c:spPr>
            <a:solidFill>
              <a:schemeClr val="tx2"/>
            </a:solidFill>
          </c:spPr>
          <c:invertIfNegative val="0"/>
          <c:cat>
            <c:strRef>
              <c:f>Grafice!$P$95:$AM$95</c:f>
              <c:strCache>
                <c:ptCount val="24"/>
                <c:pt idx="0">
                  <c:v>I 2017</c:v>
                </c:pt>
                <c:pt idx="1">
                  <c:v>II 2017</c:v>
                </c:pt>
                <c:pt idx="2">
                  <c:v>III 2017</c:v>
                </c:pt>
                <c:pt idx="3">
                  <c:v>IV 2017</c:v>
                </c:pt>
                <c:pt idx="4">
                  <c:v>V 2017</c:v>
                </c:pt>
                <c:pt idx="5">
                  <c:v>VI 2017</c:v>
                </c:pt>
                <c:pt idx="6">
                  <c:v>VII 2017</c:v>
                </c:pt>
                <c:pt idx="7">
                  <c:v>VIII 2017</c:v>
                </c:pt>
                <c:pt idx="8">
                  <c:v>IX 2017</c:v>
                </c:pt>
                <c:pt idx="9">
                  <c:v>X 2017</c:v>
                </c:pt>
                <c:pt idx="10">
                  <c:v>XI 2017</c:v>
                </c:pt>
                <c:pt idx="11">
                  <c:v>XII 2017</c:v>
                </c:pt>
                <c:pt idx="12">
                  <c:v>I  2018</c:v>
                </c:pt>
                <c:pt idx="13">
                  <c:v>II  2018</c:v>
                </c:pt>
                <c:pt idx="14">
                  <c:v>III  2018</c:v>
                </c:pt>
                <c:pt idx="15">
                  <c:v>IV 2018</c:v>
                </c:pt>
                <c:pt idx="16">
                  <c:v>V 2018</c:v>
                </c:pt>
                <c:pt idx="17">
                  <c:v>VI 2018</c:v>
                </c:pt>
                <c:pt idx="18">
                  <c:v>VII 2018</c:v>
                </c:pt>
                <c:pt idx="19">
                  <c:v>VIII 2018</c:v>
                </c:pt>
                <c:pt idx="20">
                  <c:v>IX 2018</c:v>
                </c:pt>
                <c:pt idx="21">
                  <c:v>X 2018</c:v>
                </c:pt>
                <c:pt idx="22">
                  <c:v>XI 2018</c:v>
                </c:pt>
                <c:pt idx="23">
                  <c:v>XII 2018</c:v>
                </c:pt>
              </c:strCache>
            </c:strRef>
          </c:cat>
          <c:val>
            <c:numRef>
              <c:f>Grafice!$P$97:$AM$97</c:f>
              <c:numCache>
                <c:formatCode>0.0</c:formatCode>
                <c:ptCount val="24"/>
                <c:pt idx="0">
                  <c:v>13.361805979255648</c:v>
                </c:pt>
                <c:pt idx="1">
                  <c:v>5.065985525755643</c:v>
                </c:pt>
                <c:pt idx="2">
                  <c:v>17.000973709834469</c:v>
                </c:pt>
                <c:pt idx="3">
                  <c:v>6.9756238558627972</c:v>
                </c:pt>
                <c:pt idx="4">
                  <c:v>11.6037547433593</c:v>
                </c:pt>
                <c:pt idx="5">
                  <c:v>3.0351155814363864</c:v>
                </c:pt>
                <c:pt idx="6">
                  <c:v>13.779203685422837</c:v>
                </c:pt>
                <c:pt idx="7">
                  <c:v>9.6910016977928723</c:v>
                </c:pt>
                <c:pt idx="8">
                  <c:v>9.9001277435837878</c:v>
                </c:pt>
                <c:pt idx="9">
                  <c:v>6.4437612093261611</c:v>
                </c:pt>
                <c:pt idx="10">
                  <c:v>10.446855322054471</c:v>
                </c:pt>
                <c:pt idx="11">
                  <c:v>8.2054079326735767</c:v>
                </c:pt>
                <c:pt idx="12">
                  <c:v>9.2370696192931856</c:v>
                </c:pt>
                <c:pt idx="13">
                  <c:v>16.668951336531865</c:v>
                </c:pt>
                <c:pt idx="14">
                  <c:v>-0.27326796334994191</c:v>
                </c:pt>
                <c:pt idx="15">
                  <c:v>3.0972750316856796</c:v>
                </c:pt>
                <c:pt idx="16">
                  <c:v>1.8858699448208422</c:v>
                </c:pt>
                <c:pt idx="17">
                  <c:v>6.8925655660718146</c:v>
                </c:pt>
                <c:pt idx="18">
                  <c:v>2.2526995159488648</c:v>
                </c:pt>
                <c:pt idx="19">
                  <c:v>-2.1767847912239411</c:v>
                </c:pt>
                <c:pt idx="20">
                  <c:v>-3.4686381178221031</c:v>
                </c:pt>
                <c:pt idx="21">
                  <c:v>-2.6102735901730889</c:v>
                </c:pt>
                <c:pt idx="22">
                  <c:v>-2.0184387103813215</c:v>
                </c:pt>
                <c:pt idx="23">
                  <c:v>-2.3487448684299062</c:v>
                </c:pt>
              </c:numCache>
            </c:numRef>
          </c:val>
          <c:extLst xmlns:c16r2="http://schemas.microsoft.com/office/drawing/2015/06/chart">
            <c:ext xmlns:c16="http://schemas.microsoft.com/office/drawing/2014/chart" uri="{C3380CC4-5D6E-409C-BE32-E72D297353CC}">
              <c16:uniqueId val="{00000000-7A21-4FBA-9F08-2796714A3005}"/>
            </c:ext>
          </c:extLst>
        </c:ser>
        <c:ser>
          <c:idx val="2"/>
          <c:order val="2"/>
          <c:tx>
            <c:strRef>
              <c:f>Grafice!$O$98</c:f>
              <c:strCache>
                <c:ptCount val="1"/>
                <c:pt idx="0">
                  <c:v>Auto</c:v>
                </c:pt>
              </c:strCache>
            </c:strRef>
          </c:tx>
          <c:spPr>
            <a:pattFill prst="dkDnDiag">
              <a:fgClr>
                <a:schemeClr val="tx2"/>
              </a:fgClr>
              <a:bgClr>
                <a:schemeClr val="bg1"/>
              </a:bgClr>
            </a:pattFill>
          </c:spPr>
          <c:invertIfNegative val="0"/>
          <c:cat>
            <c:strRef>
              <c:f>Grafice!$P$95:$AM$95</c:f>
              <c:strCache>
                <c:ptCount val="24"/>
                <c:pt idx="0">
                  <c:v>I 2017</c:v>
                </c:pt>
                <c:pt idx="1">
                  <c:v>II 2017</c:v>
                </c:pt>
                <c:pt idx="2">
                  <c:v>III 2017</c:v>
                </c:pt>
                <c:pt idx="3">
                  <c:v>IV 2017</c:v>
                </c:pt>
                <c:pt idx="4">
                  <c:v>V 2017</c:v>
                </c:pt>
                <c:pt idx="5">
                  <c:v>VI 2017</c:v>
                </c:pt>
                <c:pt idx="6">
                  <c:v>VII 2017</c:v>
                </c:pt>
                <c:pt idx="7">
                  <c:v>VIII 2017</c:v>
                </c:pt>
                <c:pt idx="8">
                  <c:v>IX 2017</c:v>
                </c:pt>
                <c:pt idx="9">
                  <c:v>X 2017</c:v>
                </c:pt>
                <c:pt idx="10">
                  <c:v>XI 2017</c:v>
                </c:pt>
                <c:pt idx="11">
                  <c:v>XII 2017</c:v>
                </c:pt>
                <c:pt idx="12">
                  <c:v>I  2018</c:v>
                </c:pt>
                <c:pt idx="13">
                  <c:v>II  2018</c:v>
                </c:pt>
                <c:pt idx="14">
                  <c:v>III  2018</c:v>
                </c:pt>
                <c:pt idx="15">
                  <c:v>IV 2018</c:v>
                </c:pt>
                <c:pt idx="16">
                  <c:v>V 2018</c:v>
                </c:pt>
                <c:pt idx="17">
                  <c:v>VI 2018</c:v>
                </c:pt>
                <c:pt idx="18">
                  <c:v>VII 2018</c:v>
                </c:pt>
                <c:pt idx="19">
                  <c:v>VIII 2018</c:v>
                </c:pt>
                <c:pt idx="20">
                  <c:v>IX 2018</c:v>
                </c:pt>
                <c:pt idx="21">
                  <c:v>X 2018</c:v>
                </c:pt>
                <c:pt idx="22">
                  <c:v>XI 2018</c:v>
                </c:pt>
                <c:pt idx="23">
                  <c:v>XII 2018</c:v>
                </c:pt>
              </c:strCache>
            </c:strRef>
          </c:cat>
          <c:val>
            <c:numRef>
              <c:f>Grafice!$P$98:$AM$98</c:f>
              <c:numCache>
                <c:formatCode>0.0</c:formatCode>
                <c:ptCount val="24"/>
                <c:pt idx="0">
                  <c:v>20.846044335977229</c:v>
                </c:pt>
                <c:pt idx="1">
                  <c:v>-0.76628352490421126</c:v>
                </c:pt>
                <c:pt idx="2">
                  <c:v>4.1966893865627952</c:v>
                </c:pt>
                <c:pt idx="3">
                  <c:v>14.856922632238176</c:v>
                </c:pt>
                <c:pt idx="4">
                  <c:v>31.64569602556422</c:v>
                </c:pt>
                <c:pt idx="5">
                  <c:v>18.98711840479972</c:v>
                </c:pt>
                <c:pt idx="6">
                  <c:v>18.764396182954922</c:v>
                </c:pt>
                <c:pt idx="7">
                  <c:v>8.2920203735144415</c:v>
                </c:pt>
                <c:pt idx="8">
                  <c:v>11.125304842643125</c:v>
                </c:pt>
                <c:pt idx="9">
                  <c:v>28.465283115552129</c:v>
                </c:pt>
                <c:pt idx="10">
                  <c:v>25.013276686139136</c:v>
                </c:pt>
                <c:pt idx="11">
                  <c:v>6.8573209693758281</c:v>
                </c:pt>
                <c:pt idx="12">
                  <c:v>22.55422417715759</c:v>
                </c:pt>
                <c:pt idx="13">
                  <c:v>27.073337902673064</c:v>
                </c:pt>
                <c:pt idx="14">
                  <c:v>-10.882494775759522</c:v>
                </c:pt>
                <c:pt idx="15">
                  <c:v>6.7648922686945481</c:v>
                </c:pt>
                <c:pt idx="16">
                  <c:v>12.775022700286364</c:v>
                </c:pt>
                <c:pt idx="17">
                  <c:v>10.461671844519902</c:v>
                </c:pt>
                <c:pt idx="18">
                  <c:v>16.550825369244137</c:v>
                </c:pt>
                <c:pt idx="19">
                  <c:v>8.9943139394635541</c:v>
                </c:pt>
                <c:pt idx="20">
                  <c:v>-2.5480076254242894</c:v>
                </c:pt>
                <c:pt idx="21">
                  <c:v>11.711334450027922</c:v>
                </c:pt>
                <c:pt idx="22">
                  <c:v>12.841634389831439</c:v>
                </c:pt>
                <c:pt idx="23">
                  <c:v>10.256410256410254</c:v>
                </c:pt>
              </c:numCache>
            </c:numRef>
          </c:val>
          <c:extLst xmlns:c16r2="http://schemas.microsoft.com/office/drawing/2015/06/chart">
            <c:ext xmlns:c16="http://schemas.microsoft.com/office/drawing/2014/chart" uri="{C3380CC4-5D6E-409C-BE32-E72D297353CC}">
              <c16:uniqueId val="{00000001-7A21-4FBA-9F08-2796714A3005}"/>
            </c:ext>
          </c:extLst>
        </c:ser>
        <c:ser>
          <c:idx val="3"/>
          <c:order val="3"/>
          <c:tx>
            <c:strRef>
              <c:f>Grafice!$O$99</c:f>
              <c:strCache>
                <c:ptCount val="1"/>
                <c:pt idx="0">
                  <c:v>Fluvial</c:v>
                </c:pt>
              </c:strCache>
            </c:strRef>
          </c:tx>
          <c:spPr>
            <a:pattFill prst="pct50">
              <a:fgClr>
                <a:schemeClr val="tx2"/>
              </a:fgClr>
              <a:bgClr>
                <a:schemeClr val="bg1"/>
              </a:bgClr>
            </a:pattFill>
          </c:spPr>
          <c:invertIfNegative val="0"/>
          <c:cat>
            <c:strRef>
              <c:f>Grafice!$P$95:$AM$95</c:f>
              <c:strCache>
                <c:ptCount val="24"/>
                <c:pt idx="0">
                  <c:v>I 2017</c:v>
                </c:pt>
                <c:pt idx="1">
                  <c:v>II 2017</c:v>
                </c:pt>
                <c:pt idx="2">
                  <c:v>III 2017</c:v>
                </c:pt>
                <c:pt idx="3">
                  <c:v>IV 2017</c:v>
                </c:pt>
                <c:pt idx="4">
                  <c:v>V 2017</c:v>
                </c:pt>
                <c:pt idx="5">
                  <c:v>VI 2017</c:v>
                </c:pt>
                <c:pt idx="6">
                  <c:v>VII 2017</c:v>
                </c:pt>
                <c:pt idx="7">
                  <c:v>VIII 2017</c:v>
                </c:pt>
                <c:pt idx="8">
                  <c:v>IX 2017</c:v>
                </c:pt>
                <c:pt idx="9">
                  <c:v>X 2017</c:v>
                </c:pt>
                <c:pt idx="10">
                  <c:v>XI 2017</c:v>
                </c:pt>
                <c:pt idx="11">
                  <c:v>XII 2017</c:v>
                </c:pt>
                <c:pt idx="12">
                  <c:v>I  2018</c:v>
                </c:pt>
                <c:pt idx="13">
                  <c:v>II  2018</c:v>
                </c:pt>
                <c:pt idx="14">
                  <c:v>III  2018</c:v>
                </c:pt>
                <c:pt idx="15">
                  <c:v>IV 2018</c:v>
                </c:pt>
                <c:pt idx="16">
                  <c:v>V 2018</c:v>
                </c:pt>
                <c:pt idx="17">
                  <c:v>VI 2018</c:v>
                </c:pt>
                <c:pt idx="18">
                  <c:v>VII 2018</c:v>
                </c:pt>
                <c:pt idx="19">
                  <c:v>VIII 2018</c:v>
                </c:pt>
                <c:pt idx="20">
                  <c:v>IX 2018</c:v>
                </c:pt>
                <c:pt idx="21">
                  <c:v>X 2018</c:v>
                </c:pt>
                <c:pt idx="22">
                  <c:v>XI 2018</c:v>
                </c:pt>
                <c:pt idx="23">
                  <c:v>XII 2018</c:v>
                </c:pt>
              </c:strCache>
            </c:strRef>
          </c:cat>
          <c:val>
            <c:numRef>
              <c:f>Grafice!$P$99:$AM$99</c:f>
              <c:numCache>
                <c:formatCode>0.0</c:formatCode>
                <c:ptCount val="24"/>
                <c:pt idx="0">
                  <c:v>-0.12202562538133011</c:v>
                </c:pt>
                <c:pt idx="1">
                  <c:v>-0.78047396055058882</c:v>
                </c:pt>
                <c:pt idx="2">
                  <c:v>-4.8685491723466492E-2</c:v>
                </c:pt>
                <c:pt idx="3">
                  <c:v>-0.21196647075826194</c:v>
                </c:pt>
                <c:pt idx="4">
                  <c:v>-0.28959456760535257</c:v>
                </c:pt>
                <c:pt idx="5">
                  <c:v>8.8230104111522836E-2</c:v>
                </c:pt>
                <c:pt idx="6">
                  <c:v>8.2263902599540497E-3</c:v>
                </c:pt>
                <c:pt idx="7">
                  <c:v>0.14261460101867557</c:v>
                </c:pt>
                <c:pt idx="8">
                  <c:v>0.17419579607478805</c:v>
                </c:pt>
                <c:pt idx="9">
                  <c:v>0.16013323084806558</c:v>
                </c:pt>
                <c:pt idx="10">
                  <c:v>0.12897352249449962</c:v>
                </c:pt>
                <c:pt idx="11">
                  <c:v>3.896205096236266E-2</c:v>
                </c:pt>
                <c:pt idx="12">
                  <c:v>0.6977096920976793</c:v>
                </c:pt>
                <c:pt idx="13">
                  <c:v>0.6031528444139822</c:v>
                </c:pt>
                <c:pt idx="14">
                  <c:v>-0.2089696190323099</c:v>
                </c:pt>
                <c:pt idx="15">
                  <c:v>0.13466413181242087</c:v>
                </c:pt>
                <c:pt idx="16">
                  <c:v>0.16763288398407489</c:v>
                </c:pt>
                <c:pt idx="17">
                  <c:v>-8.669893793801034E-2</c:v>
                </c:pt>
                <c:pt idx="18">
                  <c:v>6.2057837904926066E-3</c:v>
                </c:pt>
                <c:pt idx="19">
                  <c:v>-8.6152432370340495E-2</c:v>
                </c:pt>
                <c:pt idx="20">
                  <c:v>-0.14878876644813324</c:v>
                </c:pt>
                <c:pt idx="21">
                  <c:v>-0.28847943420807753</c:v>
                </c:pt>
                <c:pt idx="22">
                  <c:v>-0.16365719273362064</c:v>
                </c:pt>
                <c:pt idx="23">
                  <c:v>-0.22208762366242676</c:v>
                </c:pt>
              </c:numCache>
            </c:numRef>
          </c:val>
          <c:extLst xmlns:c16r2="http://schemas.microsoft.com/office/drawing/2015/06/chart">
            <c:ext xmlns:c16="http://schemas.microsoft.com/office/drawing/2014/chart" uri="{C3380CC4-5D6E-409C-BE32-E72D297353CC}">
              <c16:uniqueId val="{00000002-7A21-4FBA-9F08-2796714A3005}"/>
            </c:ext>
          </c:extLst>
        </c:ser>
        <c:ser>
          <c:idx val="4"/>
          <c:order val="4"/>
          <c:tx>
            <c:strRef>
              <c:f>Grafice!$O$100</c:f>
              <c:strCache>
                <c:ptCount val="1"/>
                <c:pt idx="0">
                  <c:v>Aerian</c:v>
                </c:pt>
              </c:strCache>
            </c:strRef>
          </c:tx>
          <c:spPr>
            <a:pattFill prst="pct20">
              <a:fgClr>
                <a:schemeClr val="tx2"/>
              </a:fgClr>
              <a:bgClr>
                <a:schemeClr val="bg1"/>
              </a:bgClr>
            </a:pattFill>
          </c:spPr>
          <c:invertIfNegative val="0"/>
          <c:cat>
            <c:strRef>
              <c:f>Grafice!$P$95:$AM$95</c:f>
              <c:strCache>
                <c:ptCount val="24"/>
                <c:pt idx="0">
                  <c:v>I 2017</c:v>
                </c:pt>
                <c:pt idx="1">
                  <c:v>II 2017</c:v>
                </c:pt>
                <c:pt idx="2">
                  <c:v>III 2017</c:v>
                </c:pt>
                <c:pt idx="3">
                  <c:v>IV 2017</c:v>
                </c:pt>
                <c:pt idx="4">
                  <c:v>V 2017</c:v>
                </c:pt>
                <c:pt idx="5">
                  <c:v>VI 2017</c:v>
                </c:pt>
                <c:pt idx="6">
                  <c:v>VII 2017</c:v>
                </c:pt>
                <c:pt idx="7">
                  <c:v>VIII 2017</c:v>
                </c:pt>
                <c:pt idx="8">
                  <c:v>IX 2017</c:v>
                </c:pt>
                <c:pt idx="9">
                  <c:v>X 2017</c:v>
                </c:pt>
                <c:pt idx="10">
                  <c:v>XI 2017</c:v>
                </c:pt>
                <c:pt idx="11">
                  <c:v>XII 2017</c:v>
                </c:pt>
                <c:pt idx="12">
                  <c:v>I  2018</c:v>
                </c:pt>
                <c:pt idx="13">
                  <c:v>II  2018</c:v>
                </c:pt>
                <c:pt idx="14">
                  <c:v>III  2018</c:v>
                </c:pt>
                <c:pt idx="15">
                  <c:v>IV 2018</c:v>
                </c:pt>
                <c:pt idx="16">
                  <c:v>V 2018</c:v>
                </c:pt>
                <c:pt idx="17">
                  <c:v>VI 2018</c:v>
                </c:pt>
                <c:pt idx="18">
                  <c:v>VII 2018</c:v>
                </c:pt>
                <c:pt idx="19">
                  <c:v>VIII 2018</c:v>
                </c:pt>
                <c:pt idx="20">
                  <c:v>IX 2018</c:v>
                </c:pt>
                <c:pt idx="21">
                  <c:v>X 2018</c:v>
                </c:pt>
                <c:pt idx="22">
                  <c:v>XI 2018</c:v>
                </c:pt>
                <c:pt idx="23">
                  <c:v>XII 2018</c:v>
                </c:pt>
              </c:strCache>
            </c:strRef>
          </c:cat>
          <c:val>
            <c:numRef>
              <c:f>Grafice!$P$100:$AM$100</c:f>
              <c:numCache>
                <c:formatCode>0.0</c:formatCode>
                <c:ptCount val="24"/>
                <c:pt idx="0">
                  <c:v>0</c:v>
                </c:pt>
                <c:pt idx="1">
                  <c:v>0</c:v>
                </c:pt>
                <c:pt idx="2">
                  <c:v>9.7370983446932822E-3</c:v>
                </c:pt>
                <c:pt idx="3">
                  <c:v>9.6348395799209941E-3</c:v>
                </c:pt>
                <c:pt idx="4">
                  <c:v>9.9860195725983633E-3</c:v>
                </c:pt>
                <c:pt idx="5">
                  <c:v>8.823010411152285E-3</c:v>
                </c:pt>
                <c:pt idx="6">
                  <c:v>8.2263902599539335E-3</c:v>
                </c:pt>
                <c:pt idx="7">
                  <c:v>6.791171477079797E-3</c:v>
                </c:pt>
                <c:pt idx="8">
                  <c:v>5.806526535826269E-3</c:v>
                </c:pt>
                <c:pt idx="9">
                  <c:v>6.4053292339226239E-3</c:v>
                </c:pt>
                <c:pt idx="10">
                  <c:v>0</c:v>
                </c:pt>
                <c:pt idx="11">
                  <c:v>0</c:v>
                </c:pt>
                <c:pt idx="12">
                  <c:v>1.5167602002123465E-2</c:v>
                </c:pt>
                <c:pt idx="13">
                  <c:v>1.3708019191226868E-2</c:v>
                </c:pt>
                <c:pt idx="14">
                  <c:v>0</c:v>
                </c:pt>
                <c:pt idx="15">
                  <c:v>0</c:v>
                </c:pt>
                <c:pt idx="16">
                  <c:v>0</c:v>
                </c:pt>
                <c:pt idx="17">
                  <c:v>0</c:v>
                </c:pt>
                <c:pt idx="18">
                  <c:v>0</c:v>
                </c:pt>
                <c:pt idx="19">
                  <c:v>0</c:v>
                </c:pt>
                <c:pt idx="20">
                  <c:v>0</c:v>
                </c:pt>
                <c:pt idx="21">
                  <c:v>0</c:v>
                </c:pt>
                <c:pt idx="22">
                  <c:v>0</c:v>
                </c:pt>
                <c:pt idx="23">
                  <c:v>6.7299279897705087E-3</c:v>
                </c:pt>
              </c:numCache>
            </c:numRef>
          </c:val>
          <c:extLst xmlns:c16r2="http://schemas.microsoft.com/office/drawing/2015/06/chart">
            <c:ext xmlns:c16="http://schemas.microsoft.com/office/drawing/2014/chart" uri="{C3380CC4-5D6E-409C-BE32-E72D297353CC}">
              <c16:uniqueId val="{00000003-7A21-4FBA-9F08-2796714A3005}"/>
            </c:ext>
          </c:extLst>
        </c:ser>
        <c:dLbls>
          <c:showLegendKey val="0"/>
          <c:showVal val="0"/>
          <c:showCatName val="0"/>
          <c:showSerName val="0"/>
          <c:showPercent val="0"/>
          <c:showBubbleSize val="0"/>
        </c:dLbls>
        <c:gapWidth val="150"/>
        <c:overlap val="100"/>
        <c:axId val="665762080"/>
        <c:axId val="665746400"/>
      </c:barChart>
      <c:lineChart>
        <c:grouping val="standard"/>
        <c:varyColors val="0"/>
        <c:ser>
          <c:idx val="0"/>
          <c:order val="0"/>
          <c:tx>
            <c:strRef>
              <c:f>Grafice!$O$96</c:f>
              <c:strCache>
                <c:ptCount val="1"/>
                <c:pt idx="0">
                  <c:v>Total</c:v>
                </c:pt>
              </c:strCache>
            </c:strRef>
          </c:tx>
          <c:spPr>
            <a:ln w="25400">
              <a:solidFill>
                <a:schemeClr val="tx1">
                  <a:lumMod val="50000"/>
                  <a:lumOff val="50000"/>
                </a:schemeClr>
              </a:solidFill>
            </a:ln>
          </c:spPr>
          <c:marker>
            <c:symbol val="none"/>
          </c:marker>
          <c:dLbls>
            <c:numFmt formatCode="#,##0" sourceLinked="0"/>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Grafice!$P$95:$AM$95</c:f>
              <c:strCache>
                <c:ptCount val="24"/>
                <c:pt idx="0">
                  <c:v>I 2017</c:v>
                </c:pt>
                <c:pt idx="1">
                  <c:v>II 2017</c:v>
                </c:pt>
                <c:pt idx="2">
                  <c:v>III 2017</c:v>
                </c:pt>
                <c:pt idx="3">
                  <c:v>IV 2017</c:v>
                </c:pt>
                <c:pt idx="4">
                  <c:v>V 2017</c:v>
                </c:pt>
                <c:pt idx="5">
                  <c:v>VI 2017</c:v>
                </c:pt>
                <c:pt idx="6">
                  <c:v>VII 2017</c:v>
                </c:pt>
                <c:pt idx="7">
                  <c:v>VIII 2017</c:v>
                </c:pt>
                <c:pt idx="8">
                  <c:v>IX 2017</c:v>
                </c:pt>
                <c:pt idx="9">
                  <c:v>X 2017</c:v>
                </c:pt>
                <c:pt idx="10">
                  <c:v>XI 2017</c:v>
                </c:pt>
                <c:pt idx="11">
                  <c:v>XII 2017</c:v>
                </c:pt>
                <c:pt idx="12">
                  <c:v>I  2018</c:v>
                </c:pt>
                <c:pt idx="13">
                  <c:v>II  2018</c:v>
                </c:pt>
                <c:pt idx="14">
                  <c:v>III  2018</c:v>
                </c:pt>
                <c:pt idx="15">
                  <c:v>IV 2018</c:v>
                </c:pt>
                <c:pt idx="16">
                  <c:v>V 2018</c:v>
                </c:pt>
                <c:pt idx="17">
                  <c:v>VI 2018</c:v>
                </c:pt>
                <c:pt idx="18">
                  <c:v>VII 2018</c:v>
                </c:pt>
                <c:pt idx="19">
                  <c:v>VIII 2018</c:v>
                </c:pt>
                <c:pt idx="20">
                  <c:v>IX 2018</c:v>
                </c:pt>
                <c:pt idx="21">
                  <c:v>X 2018</c:v>
                </c:pt>
                <c:pt idx="22">
                  <c:v>XI 2018</c:v>
                </c:pt>
                <c:pt idx="23">
                  <c:v>XII 2018</c:v>
                </c:pt>
              </c:strCache>
            </c:strRef>
          </c:cat>
          <c:val>
            <c:numRef>
              <c:f>Grafice!$P$96:$AM$96</c:f>
              <c:numCache>
                <c:formatCode>0.0</c:formatCode>
                <c:ptCount val="24"/>
                <c:pt idx="0">
                  <c:v>34.085824689851542</c:v>
                </c:pt>
                <c:pt idx="1">
                  <c:v>3.5192280403008427</c:v>
                </c:pt>
                <c:pt idx="2">
                  <c:v>21.158714703018489</c:v>
                </c:pt>
                <c:pt idx="3">
                  <c:v>21.630214856922631</c:v>
                </c:pt>
                <c:pt idx="4">
                  <c:v>42.969842220890769</c:v>
                </c:pt>
                <c:pt idx="5">
                  <c:v>22.119287100758783</c:v>
                </c:pt>
                <c:pt idx="6">
                  <c:v>32.560052648897674</c:v>
                </c:pt>
                <c:pt idx="7">
                  <c:v>18.132427843803068</c:v>
                </c:pt>
                <c:pt idx="8">
                  <c:v>21.205434908837528</c:v>
                </c:pt>
                <c:pt idx="9">
                  <c:v>35.075582884960276</c:v>
                </c:pt>
                <c:pt idx="10">
                  <c:v>35.589105530688109</c:v>
                </c:pt>
                <c:pt idx="11">
                  <c:v>15.101690953011767</c:v>
                </c:pt>
                <c:pt idx="12">
                  <c:v>32.504171090550578</c:v>
                </c:pt>
                <c:pt idx="13">
                  <c:v>44.35915010281014</c:v>
                </c:pt>
                <c:pt idx="14">
                  <c:v>-11.364732358141774</c:v>
                </c:pt>
                <c:pt idx="15">
                  <c:v>9.9968314321926499</c:v>
                </c:pt>
                <c:pt idx="16">
                  <c:v>14.82852552909128</c:v>
                </c:pt>
                <c:pt idx="17">
                  <c:v>17.267538472653705</c:v>
                </c:pt>
                <c:pt idx="18">
                  <c:v>18.809730668983494</c:v>
                </c:pt>
                <c:pt idx="19">
                  <c:v>6.7313767158692723</c:v>
                </c:pt>
                <c:pt idx="20">
                  <c:v>-6.165434509694526</c:v>
                </c:pt>
                <c:pt idx="21">
                  <c:v>8.812581425646755</c:v>
                </c:pt>
                <c:pt idx="22">
                  <c:v>10.659538486716498</c:v>
                </c:pt>
                <c:pt idx="23">
                  <c:v>7.6923076923076916</c:v>
                </c:pt>
              </c:numCache>
            </c:numRef>
          </c:val>
          <c:smooth val="1"/>
          <c:extLst xmlns:c16r2="http://schemas.microsoft.com/office/drawing/2015/06/chart">
            <c:ext xmlns:c16="http://schemas.microsoft.com/office/drawing/2014/chart" uri="{C3380CC4-5D6E-409C-BE32-E72D297353CC}">
              <c16:uniqueId val="{00000004-7A21-4FBA-9F08-2796714A3005}"/>
            </c:ext>
          </c:extLst>
        </c:ser>
        <c:dLbls>
          <c:showLegendKey val="0"/>
          <c:showVal val="0"/>
          <c:showCatName val="0"/>
          <c:showSerName val="0"/>
          <c:showPercent val="0"/>
          <c:showBubbleSize val="0"/>
        </c:dLbls>
        <c:marker val="1"/>
        <c:smooth val="0"/>
        <c:axId val="665762080"/>
        <c:axId val="665746400"/>
      </c:lineChart>
      <c:catAx>
        <c:axId val="665762080"/>
        <c:scaling>
          <c:orientation val="minMax"/>
        </c:scaling>
        <c:delete val="0"/>
        <c:axPos val="b"/>
        <c:numFmt formatCode="General" sourceLinked="0"/>
        <c:majorTickMark val="out"/>
        <c:minorTickMark val="none"/>
        <c:tickLblPos val="low"/>
        <c:crossAx val="665746400"/>
        <c:crosses val="autoZero"/>
        <c:auto val="1"/>
        <c:lblAlgn val="ctr"/>
        <c:lblOffset val="100"/>
        <c:noMultiLvlLbl val="0"/>
      </c:catAx>
      <c:valAx>
        <c:axId val="665746400"/>
        <c:scaling>
          <c:orientation val="minMax"/>
          <c:max val="50"/>
          <c:min val="-15"/>
        </c:scaling>
        <c:delete val="0"/>
        <c:axPos val="l"/>
        <c:majorGridlines/>
        <c:numFmt formatCode="0" sourceLinked="0"/>
        <c:majorTickMark val="out"/>
        <c:minorTickMark val="none"/>
        <c:tickLblPos val="nextTo"/>
        <c:crossAx val="665762080"/>
        <c:crosses val="autoZero"/>
        <c:crossBetween val="between"/>
      </c:valAx>
    </c:plotArea>
    <c:legend>
      <c:legendPos val="b"/>
      <c:layout>
        <c:manualLayout>
          <c:xMode val="edge"/>
          <c:yMode val="edge"/>
          <c:x val="4.9999916144667221E-2"/>
          <c:y val="0.88394093087118564"/>
          <c:w val="0.89999983228933444"/>
          <c:h val="6.860948431268156E-2"/>
        </c:manualLayout>
      </c:layout>
      <c:overlay val="0"/>
    </c:legend>
    <c:plotVisOnly val="1"/>
    <c:dispBlanksAs val="gap"/>
    <c:showDLblsOverMax val="0"/>
  </c:chart>
  <c:spPr>
    <a:ln>
      <a:noFill/>
    </a:ln>
  </c:spPr>
  <c:txPr>
    <a:bodyPr/>
    <a:lstStyle/>
    <a:p>
      <a:pPr>
        <a:defRPr sz="700"/>
      </a:pPr>
      <a:endParaRPr lang="en-U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8.1504582419000909E-2"/>
          <c:y val="5.2568697729988054E-2"/>
          <c:w val="0.86122765801815759"/>
          <c:h val="0.75652188637710605"/>
        </c:manualLayout>
      </c:layout>
      <c:areaChart>
        <c:grouping val="stacked"/>
        <c:varyColors val="0"/>
        <c:ser>
          <c:idx val="0"/>
          <c:order val="0"/>
          <c:tx>
            <c:strRef>
              <c:f>structura!$A$8</c:f>
              <c:strCache>
                <c:ptCount val="1"/>
                <c:pt idx="0">
                  <c:v>Feroviar</c:v>
                </c:pt>
              </c:strCache>
            </c:strRef>
          </c:tx>
          <c:spPr>
            <a:solidFill>
              <a:schemeClr val="accent1">
                <a:tint val="58000"/>
              </a:schemeClr>
            </a:solidFill>
            <a:ln w="25400">
              <a:solidFill>
                <a:schemeClr val="lt1">
                  <a:shade val="50000"/>
                </a:schemeClr>
              </a:solidFill>
            </a:ln>
            <a:effectLst/>
          </c:spPr>
          <c:dLbls>
            <c:spPr>
              <a:noFill/>
              <a:ln>
                <a:noFill/>
              </a:ln>
              <a:effectLst/>
            </c:spPr>
            <c:txPr>
              <a:bodyPr rot="0" vert="horz"/>
              <a:lstStyle/>
              <a:p>
                <a:pPr>
                  <a:defRPr/>
                </a:pPr>
                <a:endParaRPr lang="en-US"/>
              </a:p>
            </c:txPr>
            <c:showLegendKey val="0"/>
            <c:showVal val="0"/>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structura!$B$6:$EP$6</c:f>
              <c:strCach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strCache>
            </c:strRef>
          </c:cat>
          <c:val>
            <c:numRef>
              <c:f>structura!$B$8:$EP$8</c:f>
              <c:numCache>
                <c:formatCode>0.0</c:formatCode>
                <c:ptCount val="13"/>
                <c:pt idx="0">
                  <c:v>71.638928177009674</c:v>
                </c:pt>
                <c:pt idx="1">
                  <c:v>69.757637138752145</c:v>
                </c:pt>
                <c:pt idx="2">
                  <c:v>66.552985638699923</c:v>
                </c:pt>
                <c:pt idx="3">
                  <c:v>54.846203538063989</c:v>
                </c:pt>
                <c:pt idx="4">
                  <c:v>45.708149413830746</c:v>
                </c:pt>
                <c:pt idx="5">
                  <c:v>45.282793731604485</c:v>
                </c:pt>
                <c:pt idx="6">
                  <c:v>38.122007269531146</c:v>
                </c:pt>
                <c:pt idx="7">
                  <c:v>39.16232178785453</c:v>
                </c:pt>
                <c:pt idx="8">
                  <c:v>34.195667165086071</c:v>
                </c:pt>
                <c:pt idx="9">
                  <c:v>29.977433472000936</c:v>
                </c:pt>
                <c:pt idx="10">
                  <c:v>25.005369031426724</c:v>
                </c:pt>
                <c:pt idx="11">
                  <c:v>27.712853797333608</c:v>
                </c:pt>
                <c:pt idx="12">
                  <c:v>25.356806714909506</c:v>
                </c:pt>
              </c:numCache>
            </c:numRef>
          </c:val>
          <c:extLst xmlns:c16r2="http://schemas.microsoft.com/office/drawing/2015/06/chart">
            <c:ext xmlns:c16="http://schemas.microsoft.com/office/drawing/2014/chart" uri="{C3380CC4-5D6E-409C-BE32-E72D297353CC}">
              <c16:uniqueId val="{00000000-C767-462F-B2A3-92C649CF3981}"/>
            </c:ext>
          </c:extLst>
        </c:ser>
        <c:ser>
          <c:idx val="1"/>
          <c:order val="1"/>
          <c:tx>
            <c:strRef>
              <c:f>structura!$A$9</c:f>
              <c:strCache>
                <c:ptCount val="1"/>
                <c:pt idx="0">
                  <c:v>Auto</c:v>
                </c:pt>
              </c:strCache>
            </c:strRef>
          </c:tx>
          <c:spPr>
            <a:solidFill>
              <a:schemeClr val="accent1">
                <a:tint val="86000"/>
              </a:schemeClr>
            </a:solidFill>
            <a:ln w="22225">
              <a:solidFill>
                <a:schemeClr val="lt1">
                  <a:shade val="50000"/>
                </a:schemeClr>
              </a:solidFill>
            </a:ln>
            <a:effectLst/>
          </c:spPr>
          <c:dLbls>
            <c:spPr>
              <a:noFill/>
              <a:ln>
                <a:noFill/>
              </a:ln>
              <a:effectLst/>
            </c:spPr>
            <c:txPr>
              <a:bodyPr rot="0" vert="horz"/>
              <a:lstStyle/>
              <a:p>
                <a:pPr>
                  <a:defRPr/>
                </a:pPr>
                <a:endParaRPr lang="en-US"/>
              </a:p>
            </c:txPr>
            <c:showLegendKey val="0"/>
            <c:showVal val="0"/>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structura!$B$6:$EP$6</c:f>
              <c:strCach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strCache>
            </c:strRef>
          </c:cat>
          <c:val>
            <c:numRef>
              <c:f>structura!$B$9:$EP$9</c:f>
              <c:numCache>
                <c:formatCode>0.0</c:formatCode>
                <c:ptCount val="13"/>
                <c:pt idx="0">
                  <c:v>27.439469384328238</c:v>
                </c:pt>
                <c:pt idx="1">
                  <c:v>29.254893186047056</c:v>
                </c:pt>
                <c:pt idx="2">
                  <c:v>32.218896447467877</c:v>
                </c:pt>
                <c:pt idx="3">
                  <c:v>42.877906976744178</c:v>
                </c:pt>
                <c:pt idx="4">
                  <c:v>52.767098580853379</c:v>
                </c:pt>
                <c:pt idx="5">
                  <c:v>53.218717683557401</c:v>
                </c:pt>
                <c:pt idx="6">
                  <c:v>60.544940168279581</c:v>
                </c:pt>
                <c:pt idx="7">
                  <c:v>59.656448088613899</c:v>
                </c:pt>
                <c:pt idx="8">
                  <c:v>64.244894615022233</c:v>
                </c:pt>
                <c:pt idx="9">
                  <c:v>68.92307914146258</c:v>
                </c:pt>
                <c:pt idx="10">
                  <c:v>74.021762474049666</c:v>
                </c:pt>
                <c:pt idx="11">
                  <c:v>71.505756848664802</c:v>
                </c:pt>
                <c:pt idx="12">
                  <c:v>73.983325875751547</c:v>
                </c:pt>
              </c:numCache>
            </c:numRef>
          </c:val>
          <c:extLst xmlns:c16r2="http://schemas.microsoft.com/office/drawing/2015/06/chart">
            <c:ext xmlns:c16="http://schemas.microsoft.com/office/drawing/2014/chart" uri="{C3380CC4-5D6E-409C-BE32-E72D297353CC}">
              <c16:uniqueId val="{00000001-C767-462F-B2A3-92C649CF3981}"/>
            </c:ext>
          </c:extLst>
        </c:ser>
        <c:ser>
          <c:idx val="2"/>
          <c:order val="2"/>
          <c:tx>
            <c:strRef>
              <c:f>structura!$A$10</c:f>
              <c:strCache>
                <c:ptCount val="1"/>
                <c:pt idx="0">
                  <c:v>Fluvial</c:v>
                </c:pt>
              </c:strCache>
            </c:strRef>
          </c:tx>
          <c:spPr>
            <a:solidFill>
              <a:schemeClr val="accent1">
                <a:shade val="86000"/>
              </a:schemeClr>
            </a:solidFill>
            <a:ln>
              <a:noFill/>
            </a:ln>
            <a:effectLst/>
          </c:spPr>
          <c:dLbls>
            <c:dLbl>
              <c:idx val="0"/>
              <c:layout>
                <c:manualLayout>
                  <c:x val="0.10277777777777777"/>
                  <c:y val="0"/>
                </c:manualLayout>
              </c:layout>
              <c:showLegendKey val="0"/>
              <c:showVal val="0"/>
              <c:showCatName val="0"/>
              <c:showSerName val="1"/>
              <c:showPercent val="0"/>
              <c:showBubbleSize val="0"/>
              <c:extLst xmlns:c16r2="http://schemas.microsoft.com/office/drawing/2015/06/chart">
                <c:ext xmlns:c16="http://schemas.microsoft.com/office/drawing/2014/chart" uri="{C3380CC4-5D6E-409C-BE32-E72D297353CC}">
                  <c16:uniqueId val="{00000002-C767-462F-B2A3-92C649CF3981}"/>
                </c:ext>
                <c:ext xmlns:c15="http://schemas.microsoft.com/office/drawing/2012/chart" uri="{CE6537A1-D6FC-4f65-9D91-7224C49458BB}"/>
              </c:extLst>
            </c:dLbl>
            <c:spPr>
              <a:noFill/>
              <a:ln>
                <a:noFill/>
              </a:ln>
              <a:effectLst/>
            </c:spPr>
            <c:txPr>
              <a:bodyPr rot="0" vert="horz"/>
              <a:lstStyle/>
              <a:p>
                <a:pPr>
                  <a:defRPr/>
                </a:pPr>
                <a:endParaRPr lang="en-US"/>
              </a:p>
            </c:txPr>
            <c:showLegendKey val="0"/>
            <c:showVal val="0"/>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structura!$B$6:$EP$6</c:f>
              <c:strCach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strCache>
            </c:strRef>
          </c:cat>
          <c:val>
            <c:numRef>
              <c:f>structura!$B$10:$EP$10</c:f>
              <c:numCache>
                <c:formatCode>0.0</c:formatCode>
                <c:ptCount val="13"/>
                <c:pt idx="0">
                  <c:v>0.91385245319331698</c:v>
                </c:pt>
                <c:pt idx="1">
                  <c:v>0.9804037025696587</c:v>
                </c:pt>
                <c:pt idx="2">
                  <c:v>1.2214663643235073</c:v>
                </c:pt>
                <c:pt idx="3">
                  <c:v>2.260981912144703</c:v>
                </c:pt>
                <c:pt idx="4">
                  <c:v>1.5093264986473016</c:v>
                </c:pt>
                <c:pt idx="5">
                  <c:v>1.4825789515551666</c:v>
                </c:pt>
                <c:pt idx="6">
                  <c:v>1.3202347490913084</c:v>
                </c:pt>
                <c:pt idx="7">
                  <c:v>1.1725764229928823</c:v>
                </c:pt>
                <c:pt idx="8">
                  <c:v>1.5512450243406186</c:v>
                </c:pt>
                <c:pt idx="9">
                  <c:v>1.0958825098593379</c:v>
                </c:pt>
                <c:pt idx="10">
                  <c:v>0.97072088195289552</c:v>
                </c:pt>
                <c:pt idx="11">
                  <c:v>0.77563538232264806</c:v>
                </c:pt>
                <c:pt idx="12">
                  <c:v>0.65318130152803278</c:v>
                </c:pt>
              </c:numCache>
            </c:numRef>
          </c:val>
          <c:extLst xmlns:c16r2="http://schemas.microsoft.com/office/drawing/2015/06/chart">
            <c:ext xmlns:c16="http://schemas.microsoft.com/office/drawing/2014/chart" uri="{C3380CC4-5D6E-409C-BE32-E72D297353CC}">
              <c16:uniqueId val="{00000003-C767-462F-B2A3-92C649CF3981}"/>
            </c:ext>
          </c:extLst>
        </c:ser>
        <c:ser>
          <c:idx val="3"/>
          <c:order val="3"/>
          <c:tx>
            <c:strRef>
              <c:f>structura!$A$11</c:f>
              <c:strCache>
                <c:ptCount val="1"/>
                <c:pt idx="0">
                  <c:v>Aerian</c:v>
                </c:pt>
              </c:strCache>
            </c:strRef>
          </c:tx>
          <c:spPr>
            <a:solidFill>
              <a:schemeClr val="accent1">
                <a:shade val="58000"/>
              </a:schemeClr>
            </a:solidFill>
            <a:ln>
              <a:noFill/>
            </a:ln>
            <a:effectLst/>
          </c:spPr>
          <c:dLbls>
            <c:dLbl>
              <c:idx val="0"/>
              <c:layout>
                <c:manualLayout>
                  <c:x val="-2.7777777777777809E-3"/>
                  <c:y val="-2.3148148148148147E-2"/>
                </c:manualLayout>
              </c:layout>
              <c:showLegendKey val="0"/>
              <c:showVal val="0"/>
              <c:showCatName val="0"/>
              <c:showSerName val="1"/>
              <c:showPercent val="0"/>
              <c:showBubbleSize val="0"/>
              <c:extLst xmlns:c16r2="http://schemas.microsoft.com/office/drawing/2015/06/chart">
                <c:ext xmlns:c16="http://schemas.microsoft.com/office/drawing/2014/chart" uri="{C3380CC4-5D6E-409C-BE32-E72D297353CC}">
                  <c16:uniqueId val="{00000004-C767-462F-B2A3-92C649CF3981}"/>
                </c:ext>
                <c:ext xmlns:c15="http://schemas.microsoft.com/office/drawing/2012/chart" uri="{CE6537A1-D6FC-4f65-9D91-7224C49458BB}"/>
              </c:extLst>
            </c:dLbl>
            <c:spPr>
              <a:noFill/>
              <a:ln>
                <a:noFill/>
              </a:ln>
              <a:effectLst/>
            </c:spPr>
            <c:txPr>
              <a:bodyPr rot="0" vert="horz"/>
              <a:lstStyle/>
              <a:p>
                <a:pPr>
                  <a:defRPr/>
                </a:pPr>
                <a:endParaRPr lang="en-US"/>
              </a:p>
            </c:txPr>
            <c:showLegendKey val="0"/>
            <c:showVal val="0"/>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structura!$B$6:$EP$6</c:f>
              <c:strCach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strCache>
            </c:strRef>
          </c:cat>
          <c:val>
            <c:numRef>
              <c:f>structura!$B$11:$EP$11</c:f>
              <c:numCache>
                <c:formatCode>0.0</c:formatCode>
                <c:ptCount val="13"/>
                <c:pt idx="0">
                  <c:v>7.7499854687772462E-3</c:v>
                </c:pt>
                <c:pt idx="1">
                  <c:v>7.065972631132675E-3</c:v>
                </c:pt>
                <c:pt idx="2">
                  <c:v>6.6515495086923648E-3</c:v>
                </c:pt>
                <c:pt idx="3">
                  <c:v>1.4907573047107929E-2</c:v>
                </c:pt>
                <c:pt idx="4">
                  <c:v>1.5425506668565186E-2</c:v>
                </c:pt>
                <c:pt idx="5">
                  <c:v>1.5909633282952827E-2</c:v>
                </c:pt>
                <c:pt idx="6">
                  <c:v>1.2817813097973871E-2</c:v>
                </c:pt>
                <c:pt idx="7">
                  <c:v>8.6537005386928597E-3</c:v>
                </c:pt>
                <c:pt idx="8">
                  <c:v>8.193195551094816E-3</c:v>
                </c:pt>
                <c:pt idx="9">
                  <c:v>3.6048766771688751E-3</c:v>
                </c:pt>
                <c:pt idx="10">
                  <c:v>1.4317417137948312E-3</c:v>
                </c:pt>
                <c:pt idx="11">
                  <c:v>5.7539716789513952E-3</c:v>
                </c:pt>
                <c:pt idx="12">
                  <c:v>6.6861078109168703E-3</c:v>
                </c:pt>
              </c:numCache>
            </c:numRef>
          </c:val>
          <c:extLst xmlns:c16r2="http://schemas.microsoft.com/office/drawing/2015/06/chart">
            <c:ext xmlns:c16="http://schemas.microsoft.com/office/drawing/2014/chart" uri="{C3380CC4-5D6E-409C-BE32-E72D297353CC}">
              <c16:uniqueId val="{00000005-C767-462F-B2A3-92C649CF3981}"/>
            </c:ext>
          </c:extLst>
        </c:ser>
        <c:dLbls>
          <c:showLegendKey val="0"/>
          <c:showVal val="0"/>
          <c:showCatName val="0"/>
          <c:showSerName val="0"/>
          <c:showPercent val="0"/>
          <c:showBubbleSize val="0"/>
        </c:dLbls>
        <c:axId val="665745224"/>
        <c:axId val="665771096"/>
      </c:areaChart>
      <c:catAx>
        <c:axId val="6657452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665771096"/>
        <c:crosses val="autoZero"/>
        <c:auto val="1"/>
        <c:lblAlgn val="ctr"/>
        <c:lblOffset val="100"/>
        <c:noMultiLvlLbl val="0"/>
      </c:catAx>
      <c:valAx>
        <c:axId val="66577109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vert="horz"/>
          <a:lstStyle/>
          <a:p>
            <a:pPr>
              <a:defRPr/>
            </a:pPr>
            <a:endParaRPr lang="en-US"/>
          </a:p>
        </c:txPr>
        <c:crossAx val="665745224"/>
        <c:crosses val="autoZero"/>
        <c:crossBetween val="midCat"/>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zero"/>
    <c:showDLblsOverMax val="0"/>
  </c:chart>
  <c:spPr>
    <a:solidFill>
      <a:schemeClr val="bg1"/>
    </a:solidFill>
    <a:ln w="9525" cap="flat" cmpd="sng" algn="ctr">
      <a:noFill/>
      <a:round/>
    </a:ln>
    <a:effectLst/>
  </c:spPr>
  <c:txPr>
    <a:bodyPr/>
    <a:lstStyle/>
    <a:p>
      <a:pPr>
        <a:defRPr sz="700"/>
      </a:pPr>
      <a:endParaRPr lang="en-US"/>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1"/>
          <c:order val="1"/>
          <c:tx>
            <c:strRef>
              <c:f>Grafice!$M$135</c:f>
              <c:strCache>
                <c:ptCount val="1"/>
                <c:pt idx="0">
                  <c:v>Feroviar</c:v>
                </c:pt>
              </c:strCache>
            </c:strRef>
          </c:tx>
          <c:spPr>
            <a:pattFill prst="pct50">
              <a:fgClr>
                <a:schemeClr val="tx2"/>
              </a:fgClr>
              <a:bgClr>
                <a:schemeClr val="bg1"/>
              </a:bgClr>
            </a:pattFill>
          </c:spPr>
          <c:invertIfNegative val="0"/>
          <c:cat>
            <c:strRef>
              <c:f>Grafice!$N$133:$AJ$133</c:f>
              <c:strCache>
                <c:ptCount val="23"/>
                <c:pt idx="0">
                  <c:v>I 2017</c:v>
                </c:pt>
                <c:pt idx="1">
                  <c:v>II 2017</c:v>
                </c:pt>
                <c:pt idx="2">
                  <c:v>III 2017</c:v>
                </c:pt>
                <c:pt idx="3">
                  <c:v>IV 2017</c:v>
                </c:pt>
                <c:pt idx="4">
                  <c:v>V 2017</c:v>
                </c:pt>
                <c:pt idx="5">
                  <c:v>VI 2017</c:v>
                </c:pt>
                <c:pt idx="6">
                  <c:v>VII 2017</c:v>
                </c:pt>
                <c:pt idx="7">
                  <c:v>VIII 2017</c:v>
                </c:pt>
                <c:pt idx="8">
                  <c:v>IX 2017</c:v>
                </c:pt>
                <c:pt idx="9">
                  <c:v>X 2017</c:v>
                </c:pt>
                <c:pt idx="10">
                  <c:v>XI 2017</c:v>
                </c:pt>
                <c:pt idx="11">
                  <c:v>XII 2017</c:v>
                </c:pt>
                <c:pt idx="12">
                  <c:v>I  2018</c:v>
                </c:pt>
                <c:pt idx="13">
                  <c:v>II  2018</c:v>
                </c:pt>
                <c:pt idx="14">
                  <c:v>III  2018</c:v>
                </c:pt>
                <c:pt idx="15">
                  <c:v>IV 2018</c:v>
                </c:pt>
                <c:pt idx="16">
                  <c:v>V 2018</c:v>
                </c:pt>
                <c:pt idx="17">
                  <c:v>VI 2018</c:v>
                </c:pt>
                <c:pt idx="18">
                  <c:v>VII 2018</c:v>
                </c:pt>
                <c:pt idx="19">
                  <c:v>VIII 2018</c:v>
                </c:pt>
                <c:pt idx="20">
                  <c:v>IX 2018</c:v>
                </c:pt>
                <c:pt idx="21">
                  <c:v>X 2018</c:v>
                </c:pt>
                <c:pt idx="22">
                  <c:v>XI 2018</c:v>
                </c:pt>
              </c:strCache>
            </c:strRef>
          </c:cat>
          <c:val>
            <c:numRef>
              <c:f>Grafice!$N$135:$AJ$135</c:f>
              <c:numCache>
                <c:formatCode>0.0</c:formatCode>
                <c:ptCount val="23"/>
                <c:pt idx="0">
                  <c:v>-0.61004814842824373</c:v>
                </c:pt>
                <c:pt idx="1">
                  <c:v>-0.56534673414480963</c:v>
                </c:pt>
                <c:pt idx="2">
                  <c:v>-0.44374215333997141</c:v>
                </c:pt>
                <c:pt idx="3">
                  <c:v>-0.51548648352851034</c:v>
                </c:pt>
                <c:pt idx="4">
                  <c:v>-0.62442836011336822</c:v>
                </c:pt>
                <c:pt idx="5">
                  <c:v>-0.50656334933209979</c:v>
                </c:pt>
                <c:pt idx="6">
                  <c:v>-0.44824155889753658</c:v>
                </c:pt>
                <c:pt idx="7">
                  <c:v>-0.37360746309211129</c:v>
                </c:pt>
                <c:pt idx="8">
                  <c:v>-0.3186811999697523</c:v>
                </c:pt>
                <c:pt idx="9">
                  <c:v>-0.26827486177301324</c:v>
                </c:pt>
                <c:pt idx="10">
                  <c:v>-0.21897310736525188</c:v>
                </c:pt>
                <c:pt idx="11">
                  <c:v>-0.1869815511536195</c:v>
                </c:pt>
                <c:pt idx="12">
                  <c:v>-0.23815430414289243</c:v>
                </c:pt>
                <c:pt idx="13">
                  <c:v>-0.20030854981586535</c:v>
                </c:pt>
                <c:pt idx="14">
                  <c:v>-0.21387348647731136</c:v>
                </c:pt>
                <c:pt idx="15">
                  <c:v>-0.23817545979482055</c:v>
                </c:pt>
                <c:pt idx="16">
                  <c:v>-8.2147077026950802E-2</c:v>
                </c:pt>
                <c:pt idx="17">
                  <c:v>-0.11003495902343967</c:v>
                </c:pt>
                <c:pt idx="18">
                  <c:v>8.0982267265300431E-2</c:v>
                </c:pt>
                <c:pt idx="19">
                  <c:v>5.5265793927671024E-2</c:v>
                </c:pt>
                <c:pt idx="20">
                  <c:v>1.1151379983275465E-3</c:v>
                </c:pt>
                <c:pt idx="21">
                  <c:v>-7.7736318407958943E-3</c:v>
                </c:pt>
                <c:pt idx="22">
                  <c:v>-0.14553350735752726</c:v>
                </c:pt>
              </c:numCache>
            </c:numRef>
          </c:val>
          <c:extLst xmlns:c16r2="http://schemas.microsoft.com/office/drawing/2015/06/chart">
            <c:ext xmlns:c16="http://schemas.microsoft.com/office/drawing/2014/chart" uri="{C3380CC4-5D6E-409C-BE32-E72D297353CC}">
              <c16:uniqueId val="{00000000-6C0E-4B82-80A4-4D3B3922D9A5}"/>
            </c:ext>
          </c:extLst>
        </c:ser>
        <c:ser>
          <c:idx val="2"/>
          <c:order val="2"/>
          <c:tx>
            <c:strRef>
              <c:f>Grafice!$M$136</c:f>
              <c:strCache>
                <c:ptCount val="1"/>
                <c:pt idx="0">
                  <c:v>Auto</c:v>
                </c:pt>
              </c:strCache>
            </c:strRef>
          </c:tx>
          <c:spPr>
            <a:solidFill>
              <a:schemeClr val="tx2"/>
            </a:solidFill>
          </c:spPr>
          <c:invertIfNegative val="0"/>
          <c:cat>
            <c:strRef>
              <c:f>Grafice!$N$133:$AJ$133</c:f>
              <c:strCache>
                <c:ptCount val="23"/>
                <c:pt idx="0">
                  <c:v>I 2017</c:v>
                </c:pt>
                <c:pt idx="1">
                  <c:v>II 2017</c:v>
                </c:pt>
                <c:pt idx="2">
                  <c:v>III 2017</c:v>
                </c:pt>
                <c:pt idx="3">
                  <c:v>IV 2017</c:v>
                </c:pt>
                <c:pt idx="4">
                  <c:v>V 2017</c:v>
                </c:pt>
                <c:pt idx="5">
                  <c:v>VI 2017</c:v>
                </c:pt>
                <c:pt idx="6">
                  <c:v>VII 2017</c:v>
                </c:pt>
                <c:pt idx="7">
                  <c:v>VIII 2017</c:v>
                </c:pt>
                <c:pt idx="8">
                  <c:v>IX 2017</c:v>
                </c:pt>
                <c:pt idx="9">
                  <c:v>X 2017</c:v>
                </c:pt>
                <c:pt idx="10">
                  <c:v>XI 2017</c:v>
                </c:pt>
                <c:pt idx="11">
                  <c:v>XII 2017</c:v>
                </c:pt>
                <c:pt idx="12">
                  <c:v>I  2018</c:v>
                </c:pt>
                <c:pt idx="13">
                  <c:v>II  2018</c:v>
                </c:pt>
                <c:pt idx="14">
                  <c:v>III  2018</c:v>
                </c:pt>
                <c:pt idx="15">
                  <c:v>IV 2018</c:v>
                </c:pt>
                <c:pt idx="16">
                  <c:v>V 2018</c:v>
                </c:pt>
                <c:pt idx="17">
                  <c:v>VI 2018</c:v>
                </c:pt>
                <c:pt idx="18">
                  <c:v>VII 2018</c:v>
                </c:pt>
                <c:pt idx="19">
                  <c:v>VIII 2018</c:v>
                </c:pt>
                <c:pt idx="20">
                  <c:v>IX 2018</c:v>
                </c:pt>
                <c:pt idx="21">
                  <c:v>X 2018</c:v>
                </c:pt>
                <c:pt idx="22">
                  <c:v>XI 2018</c:v>
                </c:pt>
              </c:strCache>
            </c:strRef>
          </c:cat>
          <c:val>
            <c:numRef>
              <c:f>Grafice!$N$136:$AJ$136</c:f>
              <c:numCache>
                <c:formatCode>0.0</c:formatCode>
                <c:ptCount val="23"/>
                <c:pt idx="0">
                  <c:v>1.9045098187501619</c:v>
                </c:pt>
                <c:pt idx="1">
                  <c:v>-4.3438066680099086</c:v>
                </c:pt>
                <c:pt idx="2">
                  <c:v>-4.0964976838824194</c:v>
                </c:pt>
                <c:pt idx="3">
                  <c:v>-5.7973076502134058</c:v>
                </c:pt>
                <c:pt idx="4">
                  <c:v>0.45505357888911901</c:v>
                </c:pt>
                <c:pt idx="5">
                  <c:v>0.44064072167927537</c:v>
                </c:pt>
                <c:pt idx="6">
                  <c:v>-2.2306747030253424</c:v>
                </c:pt>
                <c:pt idx="7">
                  <c:v>-2.1623947106240378</c:v>
                </c:pt>
                <c:pt idx="8">
                  <c:v>-3.4104289773034049</c:v>
                </c:pt>
                <c:pt idx="9">
                  <c:v>-1.7557826319290706</c:v>
                </c:pt>
                <c:pt idx="10">
                  <c:v>-1.2659382769553613</c:v>
                </c:pt>
                <c:pt idx="11">
                  <c:v>3.319205838357278</c:v>
                </c:pt>
                <c:pt idx="12">
                  <c:v>-1.4611758868767077</c:v>
                </c:pt>
                <c:pt idx="13">
                  <c:v>-1.0625062207624234</c:v>
                </c:pt>
                <c:pt idx="14">
                  <c:v>-2.4272943306551995</c:v>
                </c:pt>
                <c:pt idx="15">
                  <c:v>-1.2512925375562121</c:v>
                </c:pt>
                <c:pt idx="16">
                  <c:v>-1.0577842795251224</c:v>
                </c:pt>
                <c:pt idx="17">
                  <c:v>-2.6351080291134119</c:v>
                </c:pt>
                <c:pt idx="18">
                  <c:v>-0.42872965022806037</c:v>
                </c:pt>
                <c:pt idx="19">
                  <c:v>-5.4724649695462366</c:v>
                </c:pt>
                <c:pt idx="20">
                  <c:v>0.2308335656537375</c:v>
                </c:pt>
                <c:pt idx="21">
                  <c:v>-0.7273898365316277</c:v>
                </c:pt>
                <c:pt idx="22">
                  <c:v>-3.5805862921300613E-2</c:v>
                </c:pt>
              </c:numCache>
            </c:numRef>
          </c:val>
          <c:extLst xmlns:c16r2="http://schemas.microsoft.com/office/drawing/2015/06/chart">
            <c:ext xmlns:c16="http://schemas.microsoft.com/office/drawing/2014/chart" uri="{C3380CC4-5D6E-409C-BE32-E72D297353CC}">
              <c16:uniqueId val="{00000001-6C0E-4B82-80A4-4D3B3922D9A5}"/>
            </c:ext>
          </c:extLst>
        </c:ser>
        <c:ser>
          <c:idx val="3"/>
          <c:order val="3"/>
          <c:tx>
            <c:strRef>
              <c:f>Grafice!$M$137</c:f>
              <c:strCache>
                <c:ptCount val="1"/>
                <c:pt idx="0">
                  <c:v>Fluvial</c:v>
                </c:pt>
              </c:strCache>
            </c:strRef>
          </c:tx>
          <c:spPr>
            <a:pattFill prst="pct80">
              <a:fgClr>
                <a:schemeClr val="tx2"/>
              </a:fgClr>
              <a:bgClr>
                <a:schemeClr val="bg1"/>
              </a:bgClr>
            </a:pattFill>
          </c:spPr>
          <c:invertIfNegative val="0"/>
          <c:cat>
            <c:strRef>
              <c:f>Grafice!$N$133:$AJ$133</c:f>
              <c:strCache>
                <c:ptCount val="23"/>
                <c:pt idx="0">
                  <c:v>I 2017</c:v>
                </c:pt>
                <c:pt idx="1">
                  <c:v>II 2017</c:v>
                </c:pt>
                <c:pt idx="2">
                  <c:v>III 2017</c:v>
                </c:pt>
                <c:pt idx="3">
                  <c:v>IV 2017</c:v>
                </c:pt>
                <c:pt idx="4">
                  <c:v>V 2017</c:v>
                </c:pt>
                <c:pt idx="5">
                  <c:v>VI 2017</c:v>
                </c:pt>
                <c:pt idx="6">
                  <c:v>VII 2017</c:v>
                </c:pt>
                <c:pt idx="7">
                  <c:v>VIII 2017</c:v>
                </c:pt>
                <c:pt idx="8">
                  <c:v>IX 2017</c:v>
                </c:pt>
                <c:pt idx="9">
                  <c:v>X 2017</c:v>
                </c:pt>
                <c:pt idx="10">
                  <c:v>XI 2017</c:v>
                </c:pt>
                <c:pt idx="11">
                  <c:v>XII 2017</c:v>
                </c:pt>
                <c:pt idx="12">
                  <c:v>I  2018</c:v>
                </c:pt>
                <c:pt idx="13">
                  <c:v>II  2018</c:v>
                </c:pt>
                <c:pt idx="14">
                  <c:v>III  2018</c:v>
                </c:pt>
                <c:pt idx="15">
                  <c:v>IV 2018</c:v>
                </c:pt>
                <c:pt idx="16">
                  <c:v>V 2018</c:v>
                </c:pt>
                <c:pt idx="17">
                  <c:v>VI 2018</c:v>
                </c:pt>
                <c:pt idx="18">
                  <c:v>VII 2018</c:v>
                </c:pt>
                <c:pt idx="19">
                  <c:v>VIII 2018</c:v>
                </c:pt>
                <c:pt idx="20">
                  <c:v>IX 2018</c:v>
                </c:pt>
                <c:pt idx="21">
                  <c:v>X 2018</c:v>
                </c:pt>
                <c:pt idx="22">
                  <c:v>XI 2018</c:v>
                </c:pt>
              </c:strCache>
            </c:strRef>
          </c:cat>
          <c:val>
            <c:numRef>
              <c:f>Grafice!$N$137:$AJ$137</c:f>
              <c:numCache>
                <c:formatCode>0.0</c:formatCode>
                <c:ptCount val="23"/>
                <c:pt idx="0">
                  <c:v>-1.764602082230457E-2</c:v>
                </c:pt>
                <c:pt idx="1">
                  <c:v>-6.2816303793867725E-2</c:v>
                </c:pt>
                <c:pt idx="2">
                  <c:v>-3.6798129789168355E-2</c:v>
                </c:pt>
                <c:pt idx="3">
                  <c:v>-2.6266827186166141E-2</c:v>
                </c:pt>
                <c:pt idx="4">
                  <c:v>-2.9358295412201772E-2</c:v>
                </c:pt>
                <c:pt idx="5">
                  <c:v>-2.3130746544844654E-3</c:v>
                </c:pt>
                <c:pt idx="6">
                  <c:v>3.5110304874480329E-3</c:v>
                </c:pt>
                <c:pt idx="7">
                  <c:v>4.5285753102073936E-3</c:v>
                </c:pt>
                <c:pt idx="8">
                  <c:v>3.7809633894716373E-2</c:v>
                </c:pt>
                <c:pt idx="9">
                  <c:v>5.4527410929474246E-3</c:v>
                </c:pt>
                <c:pt idx="10">
                  <c:v>2.1669213749686372E-2</c:v>
                </c:pt>
                <c:pt idx="11">
                  <c:v>2.266443044286289E-3</c:v>
                </c:pt>
                <c:pt idx="12">
                  <c:v>4.465393202679236E-2</c:v>
                </c:pt>
                <c:pt idx="13">
                  <c:v>5.9719319199761131E-2</c:v>
                </c:pt>
                <c:pt idx="14">
                  <c:v>-1.9237297725472446E-2</c:v>
                </c:pt>
                <c:pt idx="15">
                  <c:v>2.2074798712690691E-2</c:v>
                </c:pt>
                <c:pt idx="16">
                  <c:v>1.3503629100320724E-2</c:v>
                </c:pt>
                <c:pt idx="17">
                  <c:v>1.2608172388102485E-2</c:v>
                </c:pt>
                <c:pt idx="18">
                  <c:v>3.572747085233845E-3</c:v>
                </c:pt>
                <c:pt idx="19">
                  <c:v>-1.95733020160501E-2</c:v>
                </c:pt>
                <c:pt idx="20">
                  <c:v>-1.4496793978254817E-2</c:v>
                </c:pt>
                <c:pt idx="21">
                  <c:v>-1.1105188343994316E-2</c:v>
                </c:pt>
                <c:pt idx="22">
                  <c:v>-2.6565640231929602E-2</c:v>
                </c:pt>
              </c:numCache>
            </c:numRef>
          </c:val>
          <c:extLst xmlns:c16r2="http://schemas.microsoft.com/office/drawing/2015/06/chart">
            <c:ext xmlns:c16="http://schemas.microsoft.com/office/drawing/2014/chart" uri="{C3380CC4-5D6E-409C-BE32-E72D297353CC}">
              <c16:uniqueId val="{00000002-6C0E-4B82-80A4-4D3B3922D9A5}"/>
            </c:ext>
          </c:extLst>
        </c:ser>
        <c:ser>
          <c:idx val="4"/>
          <c:order val="4"/>
          <c:tx>
            <c:strRef>
              <c:f>Grafice!$M$138</c:f>
              <c:strCache>
                <c:ptCount val="1"/>
                <c:pt idx="0">
                  <c:v>Aerian</c:v>
                </c:pt>
              </c:strCache>
            </c:strRef>
          </c:tx>
          <c:spPr>
            <a:pattFill prst="dkUpDiag">
              <a:fgClr>
                <a:schemeClr val="tx2"/>
              </a:fgClr>
              <a:bgClr>
                <a:schemeClr val="bg1"/>
              </a:bgClr>
            </a:pattFill>
          </c:spPr>
          <c:invertIfNegative val="0"/>
          <c:cat>
            <c:strRef>
              <c:f>Grafice!$N$133:$AJ$133</c:f>
              <c:strCache>
                <c:ptCount val="23"/>
                <c:pt idx="0">
                  <c:v>I 2017</c:v>
                </c:pt>
                <c:pt idx="1">
                  <c:v>II 2017</c:v>
                </c:pt>
                <c:pt idx="2">
                  <c:v>III 2017</c:v>
                </c:pt>
                <c:pt idx="3">
                  <c:v>IV 2017</c:v>
                </c:pt>
                <c:pt idx="4">
                  <c:v>V 2017</c:v>
                </c:pt>
                <c:pt idx="5">
                  <c:v>VI 2017</c:v>
                </c:pt>
                <c:pt idx="6">
                  <c:v>VII 2017</c:v>
                </c:pt>
                <c:pt idx="7">
                  <c:v>VIII 2017</c:v>
                </c:pt>
                <c:pt idx="8">
                  <c:v>IX 2017</c:v>
                </c:pt>
                <c:pt idx="9">
                  <c:v>X 2017</c:v>
                </c:pt>
                <c:pt idx="10">
                  <c:v>XI 2017</c:v>
                </c:pt>
                <c:pt idx="11">
                  <c:v>XII 2017</c:v>
                </c:pt>
                <c:pt idx="12">
                  <c:v>I  2018</c:v>
                </c:pt>
                <c:pt idx="13">
                  <c:v>II  2018</c:v>
                </c:pt>
                <c:pt idx="14">
                  <c:v>III  2018</c:v>
                </c:pt>
                <c:pt idx="15">
                  <c:v>IV 2018</c:v>
                </c:pt>
                <c:pt idx="16">
                  <c:v>V 2018</c:v>
                </c:pt>
                <c:pt idx="17">
                  <c:v>VI 2018</c:v>
                </c:pt>
                <c:pt idx="18">
                  <c:v>VII 2018</c:v>
                </c:pt>
                <c:pt idx="19">
                  <c:v>VIII 2018</c:v>
                </c:pt>
                <c:pt idx="20">
                  <c:v>IX 2018</c:v>
                </c:pt>
                <c:pt idx="21">
                  <c:v>X 2018</c:v>
                </c:pt>
                <c:pt idx="22">
                  <c:v>XI 2018</c:v>
                </c:pt>
              </c:strCache>
            </c:strRef>
          </c:cat>
          <c:val>
            <c:numRef>
              <c:f>Grafice!$N$138:$AJ$138</c:f>
              <c:numCache>
                <c:formatCode>0.0</c:formatCode>
                <c:ptCount val="23"/>
                <c:pt idx="0">
                  <c:v>0.33905568579999484</c:v>
                </c:pt>
                <c:pt idx="1">
                  <c:v>0.23467222926765671</c:v>
                </c:pt>
                <c:pt idx="2">
                  <c:v>0.21970648080003469</c:v>
                </c:pt>
                <c:pt idx="3">
                  <c:v>0.53956440844916265</c:v>
                </c:pt>
                <c:pt idx="4">
                  <c:v>0.54199929991757101</c:v>
                </c:pt>
                <c:pt idx="5">
                  <c:v>0.97033481755623652</c:v>
                </c:pt>
                <c:pt idx="6">
                  <c:v>0.94797823161097794</c:v>
                </c:pt>
                <c:pt idx="7">
                  <c:v>0.86156145276695961</c:v>
                </c:pt>
                <c:pt idx="8">
                  <c:v>0.56498395791247602</c:v>
                </c:pt>
                <c:pt idx="9">
                  <c:v>0.22029074015507599</c:v>
                </c:pt>
                <c:pt idx="10">
                  <c:v>0.20414680322072951</c:v>
                </c:pt>
                <c:pt idx="11">
                  <c:v>0.1835818865871901</c:v>
                </c:pt>
                <c:pt idx="12">
                  <c:v>0.1190771520714464</c:v>
                </c:pt>
                <c:pt idx="13">
                  <c:v>6.0963471683089548E-2</c:v>
                </c:pt>
                <c:pt idx="14">
                  <c:v>8.7133642638904635E-2</c:v>
                </c:pt>
                <c:pt idx="15">
                  <c:v>3.6016776847021745E-2</c:v>
                </c:pt>
                <c:pt idx="16">
                  <c:v>-0.13616159342823395</c:v>
                </c:pt>
                <c:pt idx="17">
                  <c:v>-0.11232735400309453</c:v>
                </c:pt>
                <c:pt idx="18">
                  <c:v>-0.15600995605521115</c:v>
                </c:pt>
                <c:pt idx="19">
                  <c:v>-0.10592610502803608</c:v>
                </c:pt>
                <c:pt idx="20">
                  <c:v>-2.2302759966545859E-2</c:v>
                </c:pt>
                <c:pt idx="21">
                  <c:v>1.5547263681592104E-2</c:v>
                </c:pt>
                <c:pt idx="22">
                  <c:v>7.0456698006421903E-2</c:v>
                </c:pt>
              </c:numCache>
            </c:numRef>
          </c:val>
          <c:extLst xmlns:c16r2="http://schemas.microsoft.com/office/drawing/2015/06/chart">
            <c:ext xmlns:c16="http://schemas.microsoft.com/office/drawing/2014/chart" uri="{C3380CC4-5D6E-409C-BE32-E72D297353CC}">
              <c16:uniqueId val="{00000003-6C0E-4B82-80A4-4D3B3922D9A5}"/>
            </c:ext>
          </c:extLst>
        </c:ser>
        <c:dLbls>
          <c:showLegendKey val="0"/>
          <c:showVal val="0"/>
          <c:showCatName val="0"/>
          <c:showSerName val="0"/>
          <c:showPercent val="0"/>
          <c:showBubbleSize val="0"/>
        </c:dLbls>
        <c:gapWidth val="150"/>
        <c:overlap val="100"/>
        <c:axId val="665768352"/>
        <c:axId val="665757376"/>
      </c:barChart>
      <c:lineChart>
        <c:grouping val="standard"/>
        <c:varyColors val="0"/>
        <c:ser>
          <c:idx val="0"/>
          <c:order val="0"/>
          <c:tx>
            <c:strRef>
              <c:f>Grafice!$M$134</c:f>
              <c:strCache>
                <c:ptCount val="1"/>
                <c:pt idx="0">
                  <c:v>Total</c:v>
                </c:pt>
              </c:strCache>
            </c:strRef>
          </c:tx>
          <c:spPr>
            <a:ln>
              <a:solidFill>
                <a:schemeClr val="bg1">
                  <a:lumMod val="65000"/>
                </a:schemeClr>
              </a:solidFill>
            </a:ln>
          </c:spPr>
          <c:marker>
            <c:symbol val="none"/>
          </c:marker>
          <c:dLbls>
            <c:dLbl>
              <c:idx val="4"/>
              <c:layout>
                <c:manualLayout>
                  <c:x val="-3.1162059001299917E-2"/>
                  <c:y val="-4.864678321445711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C0E-4B82-80A4-4D3B3922D9A5}"/>
                </c:ext>
                <c:ext xmlns:c15="http://schemas.microsoft.com/office/drawing/2012/chart" uri="{CE6537A1-D6FC-4f65-9D91-7224C49458BB}"/>
              </c:extLst>
            </c:dLbl>
            <c:spPr>
              <a:noFill/>
              <a:ln>
                <a:noFill/>
              </a:ln>
              <a:effectLst/>
            </c:sp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Grafice!$N$133:$AJ$133</c:f>
              <c:strCache>
                <c:ptCount val="23"/>
                <c:pt idx="0">
                  <c:v>I 2017</c:v>
                </c:pt>
                <c:pt idx="1">
                  <c:v>II 2017</c:v>
                </c:pt>
                <c:pt idx="2">
                  <c:v>III 2017</c:v>
                </c:pt>
                <c:pt idx="3">
                  <c:v>IV 2017</c:v>
                </c:pt>
                <c:pt idx="4">
                  <c:v>V 2017</c:v>
                </c:pt>
                <c:pt idx="5">
                  <c:v>VI 2017</c:v>
                </c:pt>
                <c:pt idx="6">
                  <c:v>VII 2017</c:v>
                </c:pt>
                <c:pt idx="7">
                  <c:v>VIII 2017</c:v>
                </c:pt>
                <c:pt idx="8">
                  <c:v>IX 2017</c:v>
                </c:pt>
                <c:pt idx="9">
                  <c:v>X 2017</c:v>
                </c:pt>
                <c:pt idx="10">
                  <c:v>XI 2017</c:v>
                </c:pt>
                <c:pt idx="11">
                  <c:v>XII 2017</c:v>
                </c:pt>
                <c:pt idx="12">
                  <c:v>I  2018</c:v>
                </c:pt>
                <c:pt idx="13">
                  <c:v>II  2018</c:v>
                </c:pt>
                <c:pt idx="14">
                  <c:v>III  2018</c:v>
                </c:pt>
                <c:pt idx="15">
                  <c:v>IV 2018</c:v>
                </c:pt>
                <c:pt idx="16">
                  <c:v>V 2018</c:v>
                </c:pt>
                <c:pt idx="17">
                  <c:v>VI 2018</c:v>
                </c:pt>
                <c:pt idx="18">
                  <c:v>VII 2018</c:v>
                </c:pt>
                <c:pt idx="19">
                  <c:v>VIII 2018</c:v>
                </c:pt>
                <c:pt idx="20">
                  <c:v>IX 2018</c:v>
                </c:pt>
                <c:pt idx="21">
                  <c:v>X 2018</c:v>
                </c:pt>
                <c:pt idx="22">
                  <c:v>XI 2018</c:v>
                </c:pt>
              </c:strCache>
            </c:strRef>
          </c:cat>
          <c:val>
            <c:numRef>
              <c:f>Grafice!$N$134:$AJ$134</c:f>
              <c:numCache>
                <c:formatCode>0.0</c:formatCode>
                <c:ptCount val="23"/>
                <c:pt idx="0">
                  <c:v>1.6158713352996084</c:v>
                </c:pt>
                <c:pt idx="1">
                  <c:v>-4.7372974766809293</c:v>
                </c:pt>
                <c:pt idx="2">
                  <c:v>-4.3573314862115238</c:v>
                </c:pt>
                <c:pt idx="3">
                  <c:v>-5.7994965524789199</c:v>
                </c:pt>
                <c:pt idx="4">
                  <c:v>0.34326622328112</c:v>
                </c:pt>
                <c:pt idx="5">
                  <c:v>0.90209911524892761</c:v>
                </c:pt>
                <c:pt idx="6">
                  <c:v>-1.7274269998244529</c:v>
                </c:pt>
                <c:pt idx="7">
                  <c:v>-1.6699121456389818</c:v>
                </c:pt>
                <c:pt idx="8">
                  <c:v>-3.1263165854659647</c:v>
                </c:pt>
                <c:pt idx="9">
                  <c:v>-1.7983140124540602</c:v>
                </c:pt>
                <c:pt idx="10">
                  <c:v>-1.2590953673501974</c:v>
                </c:pt>
                <c:pt idx="11">
                  <c:v>3.3180726168351349</c:v>
                </c:pt>
                <c:pt idx="12">
                  <c:v>-1.5355991069213613</c:v>
                </c:pt>
                <c:pt idx="13">
                  <c:v>-1.1421319796954381</c:v>
                </c:pt>
                <c:pt idx="14">
                  <c:v>-2.573271472219079</c:v>
                </c:pt>
                <c:pt idx="15">
                  <c:v>-1.4313764217913201</c:v>
                </c:pt>
                <c:pt idx="16">
                  <c:v>-1.2625893208799863</c:v>
                </c:pt>
                <c:pt idx="17">
                  <c:v>-2.8448621697518433</c:v>
                </c:pt>
                <c:pt idx="18">
                  <c:v>-0.50018459193273723</c:v>
                </c:pt>
                <c:pt idx="19">
                  <c:v>-5.542698582662652</c:v>
                </c:pt>
                <c:pt idx="20">
                  <c:v>0.19514914970726438</c:v>
                </c:pt>
                <c:pt idx="21">
                  <c:v>-0.73072139303482586</c:v>
                </c:pt>
                <c:pt idx="22">
                  <c:v>-0.13744831250433559</c:v>
                </c:pt>
              </c:numCache>
            </c:numRef>
          </c:val>
          <c:smooth val="1"/>
          <c:extLst xmlns:c16r2="http://schemas.microsoft.com/office/drawing/2015/06/chart">
            <c:ext xmlns:c16="http://schemas.microsoft.com/office/drawing/2014/chart" uri="{C3380CC4-5D6E-409C-BE32-E72D297353CC}">
              <c16:uniqueId val="{00000005-6C0E-4B82-80A4-4D3B3922D9A5}"/>
            </c:ext>
          </c:extLst>
        </c:ser>
        <c:dLbls>
          <c:showLegendKey val="0"/>
          <c:showVal val="0"/>
          <c:showCatName val="0"/>
          <c:showSerName val="0"/>
          <c:showPercent val="0"/>
          <c:showBubbleSize val="0"/>
        </c:dLbls>
        <c:marker val="1"/>
        <c:smooth val="0"/>
        <c:axId val="665768352"/>
        <c:axId val="665757376"/>
      </c:lineChart>
      <c:catAx>
        <c:axId val="665768352"/>
        <c:scaling>
          <c:orientation val="minMax"/>
        </c:scaling>
        <c:delete val="0"/>
        <c:axPos val="b"/>
        <c:numFmt formatCode="General" sourceLinked="0"/>
        <c:majorTickMark val="out"/>
        <c:minorTickMark val="none"/>
        <c:tickLblPos val="low"/>
        <c:spPr>
          <a:noFill/>
        </c:spPr>
        <c:crossAx val="665757376"/>
        <c:crosses val="autoZero"/>
        <c:auto val="1"/>
        <c:lblAlgn val="ctr"/>
        <c:lblOffset val="100"/>
        <c:noMultiLvlLbl val="0"/>
      </c:catAx>
      <c:valAx>
        <c:axId val="665757376"/>
        <c:scaling>
          <c:orientation val="minMax"/>
        </c:scaling>
        <c:delete val="0"/>
        <c:axPos val="l"/>
        <c:majorGridlines/>
        <c:numFmt formatCode="0.0" sourceLinked="1"/>
        <c:majorTickMark val="out"/>
        <c:minorTickMark val="none"/>
        <c:tickLblPos val="nextTo"/>
        <c:crossAx val="665768352"/>
        <c:crosses val="autoZero"/>
        <c:crossBetween val="between"/>
      </c:valAx>
    </c:plotArea>
    <c:legend>
      <c:legendPos val="b"/>
      <c:overlay val="0"/>
    </c:legend>
    <c:plotVisOnly val="1"/>
    <c:dispBlanksAs val="gap"/>
    <c:showDLblsOverMax val="0"/>
  </c:chart>
  <c:spPr>
    <a:ln>
      <a:noFill/>
    </a:ln>
  </c:spPr>
  <c:txPr>
    <a:bodyPr/>
    <a:lstStyle/>
    <a:p>
      <a:pPr>
        <a:defRPr sz="700"/>
      </a:pPr>
      <a:endParaRPr lang="en-US"/>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0370251415941428"/>
          <c:y val="4.6709129511677279E-2"/>
          <c:w val="0.84348079845282498"/>
          <c:h val="0.76666599796044599"/>
        </c:manualLayout>
      </c:layout>
      <c:areaChart>
        <c:grouping val="stacked"/>
        <c:varyColors val="0"/>
        <c:ser>
          <c:idx val="0"/>
          <c:order val="0"/>
          <c:tx>
            <c:strRef>
              <c:f>structura!$A$16</c:f>
              <c:strCache>
                <c:ptCount val="1"/>
                <c:pt idx="0">
                  <c:v>Feroviar</c:v>
                </c:pt>
              </c:strCache>
            </c:strRef>
          </c:tx>
          <c:spPr>
            <a:solidFill>
              <a:schemeClr val="accent1">
                <a:tint val="58000"/>
              </a:schemeClr>
            </a:solidFill>
            <a:ln w="25400">
              <a:solidFill>
                <a:schemeClr val="lt1">
                  <a:shade val="50000"/>
                </a:schemeClr>
              </a:solidFill>
            </a:ln>
            <a:effectLst/>
          </c:spPr>
          <c:dLbls>
            <c:spPr>
              <a:noFill/>
              <a:ln>
                <a:noFill/>
              </a:ln>
              <a:effectLst/>
            </c:spPr>
            <c:txPr>
              <a:bodyPr rot="0" vert="horz"/>
              <a:lstStyle/>
              <a:p>
                <a:pPr>
                  <a:defRPr/>
                </a:pPr>
                <a:endParaRPr lang="en-US"/>
              </a:p>
            </c:txPr>
            <c:showLegendKey val="0"/>
            <c:showVal val="0"/>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structura!$M$15:$EP$15</c:f>
              <c:strCach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strCache>
            </c:strRef>
          </c:cat>
          <c:val>
            <c:numRef>
              <c:f>structura!$B$16:$EP$16</c:f>
              <c:numCache>
                <c:formatCode>0.0</c:formatCode>
                <c:ptCount val="13"/>
                <c:pt idx="0">
                  <c:v>4.5872045477038359</c:v>
                </c:pt>
                <c:pt idx="1">
                  <c:v>5.1144238554183818</c:v>
                </c:pt>
                <c:pt idx="2">
                  <c:v>4.9412662482422753</c:v>
                </c:pt>
                <c:pt idx="3">
                  <c:v>4.6488011637463948</c:v>
                </c:pt>
                <c:pt idx="4">
                  <c:v>4.4430480476851599</c:v>
                </c:pt>
                <c:pt idx="5">
                  <c:v>3.8999245891515986</c:v>
                </c:pt>
                <c:pt idx="6">
                  <c:v>3.5228801771138176</c:v>
                </c:pt>
                <c:pt idx="7">
                  <c:v>3.4199062208298057</c:v>
                </c:pt>
                <c:pt idx="8">
                  <c:v>3.3918421164260564</c:v>
                </c:pt>
                <c:pt idx="9">
                  <c:v>3.0506455891508537</c:v>
                </c:pt>
                <c:pt idx="10">
                  <c:v>2.1374050136871161</c:v>
                </c:pt>
                <c:pt idx="11">
                  <c:v>1.7448432507939191</c:v>
                </c:pt>
                <c:pt idx="12">
                  <c:v>1.689753719064921</c:v>
                </c:pt>
              </c:numCache>
            </c:numRef>
          </c:val>
          <c:extLst xmlns:c16r2="http://schemas.microsoft.com/office/drawing/2015/06/chart">
            <c:ext xmlns:c16="http://schemas.microsoft.com/office/drawing/2014/chart" uri="{C3380CC4-5D6E-409C-BE32-E72D297353CC}">
              <c16:uniqueId val="{00000000-0D5C-4D92-BAD3-8C9499E51302}"/>
            </c:ext>
          </c:extLst>
        </c:ser>
        <c:ser>
          <c:idx val="1"/>
          <c:order val="1"/>
          <c:tx>
            <c:strRef>
              <c:f>structura!$A$17</c:f>
              <c:strCache>
                <c:ptCount val="1"/>
                <c:pt idx="0">
                  <c:v>Auto</c:v>
                </c:pt>
              </c:strCache>
            </c:strRef>
          </c:tx>
          <c:spPr>
            <a:solidFill>
              <a:schemeClr val="accent1">
                <a:tint val="86000"/>
              </a:schemeClr>
            </a:solidFill>
            <a:ln w="22225">
              <a:solidFill>
                <a:schemeClr val="lt1">
                  <a:shade val="50000"/>
                </a:schemeClr>
              </a:solidFill>
            </a:ln>
            <a:effectLst/>
          </c:spPr>
          <c:dLbls>
            <c:spPr>
              <a:noFill/>
              <a:ln>
                <a:noFill/>
              </a:ln>
              <a:effectLst/>
            </c:spPr>
            <c:txPr>
              <a:bodyPr rot="0" vert="horz"/>
              <a:lstStyle/>
              <a:p>
                <a:pPr>
                  <a:defRPr/>
                </a:pPr>
                <a:endParaRPr lang="en-US"/>
              </a:p>
            </c:txPr>
            <c:showLegendKey val="0"/>
            <c:showVal val="0"/>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structura!$M$15:$EP$15</c:f>
              <c:strCach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strCache>
            </c:strRef>
          </c:cat>
          <c:val>
            <c:numRef>
              <c:f>structura!$B$17:$EP$17</c:f>
              <c:numCache>
                <c:formatCode>0.0</c:formatCode>
                <c:ptCount val="13"/>
                <c:pt idx="0">
                  <c:v>94.979329408149141</c:v>
                </c:pt>
                <c:pt idx="1">
                  <c:v>94.39668461281606</c:v>
                </c:pt>
                <c:pt idx="2">
                  <c:v>94.5623692423775</c:v>
                </c:pt>
                <c:pt idx="3">
                  <c:v>94.832962417552253</c:v>
                </c:pt>
                <c:pt idx="4">
                  <c:v>94.869495086205134</c:v>
                </c:pt>
                <c:pt idx="5">
                  <c:v>95.418811654163036</c:v>
                </c:pt>
                <c:pt idx="6">
                  <c:v>95.837046198594081</c:v>
                </c:pt>
                <c:pt idx="7">
                  <c:v>95.935455997245612</c:v>
                </c:pt>
                <c:pt idx="8">
                  <c:v>95.689697835216293</c:v>
                </c:pt>
                <c:pt idx="9">
                  <c:v>95.806120705989741</c:v>
                </c:pt>
                <c:pt idx="10">
                  <c:v>96.663126568906975</c:v>
                </c:pt>
                <c:pt idx="11">
                  <c:v>96.551777215735456</c:v>
                </c:pt>
                <c:pt idx="12">
                  <c:v>96.540691197641721</c:v>
                </c:pt>
              </c:numCache>
            </c:numRef>
          </c:val>
          <c:extLst xmlns:c16r2="http://schemas.microsoft.com/office/drawing/2015/06/chart">
            <c:ext xmlns:c16="http://schemas.microsoft.com/office/drawing/2014/chart" uri="{C3380CC4-5D6E-409C-BE32-E72D297353CC}">
              <c16:uniqueId val="{00000001-0D5C-4D92-BAD3-8C9499E51302}"/>
            </c:ext>
          </c:extLst>
        </c:ser>
        <c:ser>
          <c:idx val="2"/>
          <c:order val="2"/>
          <c:tx>
            <c:strRef>
              <c:f>structura!$A$18</c:f>
              <c:strCache>
                <c:ptCount val="1"/>
                <c:pt idx="0">
                  <c:v>Fluvial</c:v>
                </c:pt>
              </c:strCache>
            </c:strRef>
          </c:tx>
          <c:spPr>
            <a:solidFill>
              <a:schemeClr val="accent1">
                <a:shade val="86000"/>
              </a:schemeClr>
            </a:solidFill>
            <a:ln>
              <a:noFill/>
            </a:ln>
            <a:effectLst/>
          </c:spPr>
          <c:dLbls>
            <c:dLbl>
              <c:idx val="0"/>
              <c:layout>
                <c:manualLayout>
                  <c:x val="0.10277777777777777"/>
                  <c:y val="0"/>
                </c:manualLayout>
              </c:layout>
              <c:showLegendKey val="0"/>
              <c:showVal val="0"/>
              <c:showCatName val="0"/>
              <c:showSerName val="1"/>
              <c:showPercent val="0"/>
              <c:showBubbleSize val="0"/>
              <c:extLst xmlns:c16r2="http://schemas.microsoft.com/office/drawing/2015/06/chart">
                <c:ext xmlns:c16="http://schemas.microsoft.com/office/drawing/2014/chart" uri="{C3380CC4-5D6E-409C-BE32-E72D297353CC}">
                  <c16:uniqueId val="{00000002-0D5C-4D92-BAD3-8C9499E51302}"/>
                </c:ext>
                <c:ext xmlns:c15="http://schemas.microsoft.com/office/drawing/2012/chart" uri="{CE6537A1-D6FC-4f65-9D91-7224C49458BB}"/>
              </c:extLst>
            </c:dLbl>
            <c:spPr>
              <a:noFill/>
              <a:ln>
                <a:noFill/>
              </a:ln>
              <a:effectLst/>
            </c:spPr>
            <c:txPr>
              <a:bodyPr rot="0" vert="horz"/>
              <a:lstStyle/>
              <a:p>
                <a:pPr>
                  <a:defRPr/>
                </a:pPr>
                <a:endParaRPr lang="en-US"/>
              </a:p>
            </c:txPr>
            <c:showLegendKey val="0"/>
            <c:showVal val="0"/>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structura!$M$15:$EP$15</c:f>
              <c:strCach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strCache>
            </c:strRef>
          </c:cat>
          <c:val>
            <c:numRef>
              <c:f>structura!$B$18:$EP$18</c:f>
              <c:numCache>
                <c:formatCode>0.0</c:formatCode>
                <c:ptCount val="13"/>
                <c:pt idx="0">
                  <c:v>8.9158747714601722E-2</c:v>
                </c:pt>
                <c:pt idx="1">
                  <c:v>0.10904915903154833</c:v>
                </c:pt>
                <c:pt idx="2">
                  <c:v>9.0029838460746997E-2</c:v>
                </c:pt>
                <c:pt idx="3">
                  <c:v>0.10638993929409782</c:v>
                </c:pt>
                <c:pt idx="4">
                  <c:v>0.10634098397634721</c:v>
                </c:pt>
                <c:pt idx="5">
                  <c:v>0.10148594965932672</c:v>
                </c:pt>
                <c:pt idx="6">
                  <c:v>9.3896942222135682E-2</c:v>
                </c:pt>
                <c:pt idx="7">
                  <c:v>9.7272281327482515E-2</c:v>
                </c:pt>
                <c:pt idx="8">
                  <c:v>0.12513609433988943</c:v>
                </c:pt>
                <c:pt idx="9">
                  <c:v>0.13011657287508158</c:v>
                </c:pt>
                <c:pt idx="10">
                  <c:v>0.13128651317408574</c:v>
                </c:pt>
                <c:pt idx="11">
                  <c:v>0.12525698365405982</c:v>
                </c:pt>
                <c:pt idx="12">
                  <c:v>0.13539452937547131</c:v>
                </c:pt>
              </c:numCache>
            </c:numRef>
          </c:val>
          <c:extLst xmlns:c16r2="http://schemas.microsoft.com/office/drawing/2015/06/chart">
            <c:ext xmlns:c16="http://schemas.microsoft.com/office/drawing/2014/chart" uri="{C3380CC4-5D6E-409C-BE32-E72D297353CC}">
              <c16:uniqueId val="{00000003-0D5C-4D92-BAD3-8C9499E51302}"/>
            </c:ext>
          </c:extLst>
        </c:ser>
        <c:ser>
          <c:idx val="3"/>
          <c:order val="3"/>
          <c:tx>
            <c:strRef>
              <c:f>structura!$A$19</c:f>
              <c:strCache>
                <c:ptCount val="1"/>
                <c:pt idx="0">
                  <c:v>Aerian</c:v>
                </c:pt>
              </c:strCache>
            </c:strRef>
          </c:tx>
          <c:spPr>
            <a:solidFill>
              <a:schemeClr val="accent1">
                <a:shade val="58000"/>
              </a:schemeClr>
            </a:solidFill>
            <a:ln>
              <a:noFill/>
            </a:ln>
            <a:effectLst/>
          </c:spPr>
          <c:dLbls>
            <c:dLbl>
              <c:idx val="0"/>
              <c:layout>
                <c:manualLayout>
                  <c:x val="-2.7777777777777809E-3"/>
                  <c:y val="-2.3148148148148147E-2"/>
                </c:manualLayout>
              </c:layout>
              <c:showLegendKey val="0"/>
              <c:showVal val="0"/>
              <c:showCatName val="0"/>
              <c:showSerName val="1"/>
              <c:showPercent val="0"/>
              <c:showBubbleSize val="0"/>
              <c:extLst xmlns:c16r2="http://schemas.microsoft.com/office/drawing/2015/06/chart">
                <c:ext xmlns:c16="http://schemas.microsoft.com/office/drawing/2014/chart" uri="{C3380CC4-5D6E-409C-BE32-E72D297353CC}">
                  <c16:uniqueId val="{00000004-0D5C-4D92-BAD3-8C9499E51302}"/>
                </c:ext>
                <c:ext xmlns:c15="http://schemas.microsoft.com/office/drawing/2012/chart" uri="{CE6537A1-D6FC-4f65-9D91-7224C49458BB}"/>
              </c:extLst>
            </c:dLbl>
            <c:spPr>
              <a:noFill/>
              <a:ln>
                <a:noFill/>
              </a:ln>
              <a:effectLst/>
            </c:spPr>
            <c:txPr>
              <a:bodyPr rot="0" vert="horz"/>
              <a:lstStyle/>
              <a:p>
                <a:pPr>
                  <a:defRPr/>
                </a:pPr>
                <a:endParaRPr lang="en-US"/>
              </a:p>
            </c:txPr>
            <c:showLegendKey val="0"/>
            <c:showVal val="0"/>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structura!$M$15:$EP$15</c:f>
              <c:strCach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strCache>
            </c:strRef>
          </c:cat>
          <c:val>
            <c:numRef>
              <c:f>structura!$B$19:$EP$19</c:f>
              <c:numCache>
                <c:formatCode>0.0</c:formatCode>
                <c:ptCount val="13"/>
                <c:pt idx="0">
                  <c:v>0.34430729643243474</c:v>
                </c:pt>
                <c:pt idx="1">
                  <c:v>0.37984237273405091</c:v>
                </c:pt>
                <c:pt idx="2">
                  <c:v>0.40633467091950476</c:v>
                </c:pt>
                <c:pt idx="3">
                  <c:v>0.41184647940722785</c:v>
                </c:pt>
                <c:pt idx="4">
                  <c:v>0.58111588213337217</c:v>
                </c:pt>
                <c:pt idx="5">
                  <c:v>0.57977780702603954</c:v>
                </c:pt>
                <c:pt idx="6">
                  <c:v>0.54617668206998538</c:v>
                </c:pt>
                <c:pt idx="7">
                  <c:v>0.54736550059708799</c:v>
                </c:pt>
                <c:pt idx="8">
                  <c:v>0.79341232696576802</c:v>
                </c:pt>
                <c:pt idx="9">
                  <c:v>1.0131171319843151</c:v>
                </c:pt>
                <c:pt idx="10">
                  <c:v>1.0681819042318368</c:v>
                </c:pt>
                <c:pt idx="11">
                  <c:v>1.5781225498165881</c:v>
                </c:pt>
                <c:pt idx="12">
                  <c:v>1.6341605539178721</c:v>
                </c:pt>
              </c:numCache>
            </c:numRef>
          </c:val>
          <c:extLst xmlns:c16r2="http://schemas.microsoft.com/office/drawing/2015/06/chart">
            <c:ext xmlns:c16="http://schemas.microsoft.com/office/drawing/2014/chart" uri="{C3380CC4-5D6E-409C-BE32-E72D297353CC}">
              <c16:uniqueId val="{00000005-0D5C-4D92-BAD3-8C9499E51302}"/>
            </c:ext>
          </c:extLst>
        </c:ser>
        <c:dLbls>
          <c:showLegendKey val="0"/>
          <c:showVal val="0"/>
          <c:showCatName val="0"/>
          <c:showSerName val="0"/>
          <c:showPercent val="0"/>
          <c:showBubbleSize val="0"/>
        </c:dLbls>
        <c:axId val="665770312"/>
        <c:axId val="665751104"/>
      </c:areaChart>
      <c:catAx>
        <c:axId val="6657703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665751104"/>
        <c:crosses val="autoZero"/>
        <c:auto val="1"/>
        <c:lblAlgn val="ctr"/>
        <c:lblOffset val="100"/>
        <c:noMultiLvlLbl val="0"/>
      </c:catAx>
      <c:valAx>
        <c:axId val="66575110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vert="horz"/>
          <a:lstStyle/>
          <a:p>
            <a:pPr>
              <a:defRPr/>
            </a:pPr>
            <a:endParaRPr lang="en-US"/>
          </a:p>
        </c:txPr>
        <c:crossAx val="665770312"/>
        <c:crosses val="autoZero"/>
        <c:crossBetween val="midCat"/>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zero"/>
    <c:showDLblsOverMax val="0"/>
  </c:chart>
  <c:spPr>
    <a:solidFill>
      <a:schemeClr val="bg1"/>
    </a:solidFill>
    <a:ln w="9525" cap="flat" cmpd="sng" algn="ctr">
      <a:noFill/>
      <a:round/>
    </a:ln>
    <a:effectLst/>
  </c:spPr>
  <c:txPr>
    <a:bodyPr/>
    <a:lstStyle/>
    <a:p>
      <a:pPr>
        <a:defRPr sz="700"/>
      </a:pPr>
      <a:endParaRPr lang="en-US"/>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675743371056543E-2"/>
          <c:y val="0.1132938856015779"/>
          <c:w val="0.88552780040425982"/>
          <c:h val="0.73910046747115188"/>
        </c:manualLayout>
      </c:layout>
      <c:lineChart>
        <c:grouping val="standard"/>
        <c:varyColors val="0"/>
        <c:ser>
          <c:idx val="0"/>
          <c:order val="0"/>
          <c:tx>
            <c:strRef>
              <c:f>Sheet1!$B$6</c:f>
              <c:strCache>
                <c:ptCount val="1"/>
                <c:pt idx="0">
                  <c:v>Ecoluția lunară a comertului cu amănuntul</c:v>
                </c:pt>
              </c:strCache>
            </c:strRef>
          </c:tx>
          <c:spPr>
            <a:ln w="28575" cap="rnd">
              <a:solidFill>
                <a:schemeClr val="accent1"/>
              </a:solidFill>
              <a:round/>
            </a:ln>
            <a:effectLst/>
          </c:spPr>
          <c:marker>
            <c:symbol val="none"/>
          </c:marker>
          <c:dLbls>
            <c:dLbl>
              <c:idx val="0"/>
              <c:layout>
                <c:manualLayout>
                  <c:x val="-5.4333333333333338E-2"/>
                  <c:y val="-5.78357392825897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E4F-4965-87DB-565D46D2C389}"/>
                </c:ext>
                <c:ext xmlns:c15="http://schemas.microsoft.com/office/drawing/2012/chart" uri="{CE6537A1-D6FC-4f65-9D91-7224C49458BB}"/>
              </c:extLst>
            </c:dLbl>
            <c:dLbl>
              <c:idx val="2"/>
              <c:layout>
                <c:manualLayout>
                  <c:x val="2.3444444444444445E-2"/>
                  <c:y val="-1.61690726159230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E4F-4965-87DB-565D46D2C389}"/>
                </c:ext>
                <c:ext xmlns:c15="http://schemas.microsoft.com/office/drawing/2012/chart" uri="{CE6537A1-D6FC-4f65-9D91-7224C49458BB}"/>
              </c:extLst>
            </c:dLbl>
            <c:dLbl>
              <c:idx val="3"/>
              <c:layout>
                <c:manualLayout>
                  <c:x val="-5.9888888888888887E-2"/>
                  <c:y val="-7.172462817147856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E4F-4965-87DB-565D46D2C389}"/>
                </c:ext>
                <c:ext xmlns:c15="http://schemas.microsoft.com/office/drawing/2012/chart" uri="{CE6537A1-D6FC-4f65-9D91-7224C49458BB}"/>
              </c:extLst>
            </c:dLbl>
            <c:dLbl>
              <c:idx val="4"/>
              <c:layout>
                <c:manualLayout>
                  <c:x val="-5.6062554680664914E-2"/>
                  <c:y val="-5.783573928258967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E4F-4965-87DB-565D46D2C389}"/>
                </c:ext>
                <c:ext xmlns:c15="http://schemas.microsoft.com/office/drawing/2012/chart" uri="{CE6537A1-D6FC-4f65-9D91-7224C49458BB}"/>
              </c:extLst>
            </c:dLbl>
            <c:dLbl>
              <c:idx val="6"/>
              <c:layout>
                <c:manualLayout>
                  <c:x val="-4.7729221347331582E-2"/>
                  <c:y val="-7.172462817147856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E4F-4965-87DB-565D46D2C389}"/>
                </c:ext>
                <c:ext xmlns:c15="http://schemas.microsoft.com/office/drawing/2012/chart" uri="{CE6537A1-D6FC-4f65-9D91-7224C49458BB}"/>
              </c:extLst>
            </c:dLbl>
            <c:dLbl>
              <c:idx val="8"/>
              <c:layout>
                <c:manualLayout>
                  <c:x val="-2.9333333333333333E-2"/>
                  <c:y val="-8.098388743073782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E4F-4965-87DB-565D46D2C389}"/>
                </c:ext>
                <c:ext xmlns:c15="http://schemas.microsoft.com/office/drawing/2012/chart" uri="{CE6537A1-D6FC-4f65-9D91-7224C49458BB}"/>
              </c:extLst>
            </c:dLbl>
            <c:dLbl>
              <c:idx val="9"/>
              <c:layout>
                <c:manualLayout>
                  <c:x val="-4.3222222222222224E-2"/>
                  <c:y val="3.938648293963246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E4F-4965-87DB-565D46D2C389}"/>
                </c:ext>
                <c:ext xmlns:c15="http://schemas.microsoft.com/office/drawing/2012/chart" uri="{CE6537A1-D6FC-4f65-9D91-7224C49458BB}"/>
              </c:extLst>
            </c:dLbl>
            <c:dLbl>
              <c:idx val="10"/>
              <c:layout>
                <c:manualLayout>
                  <c:x val="-9.888888888888888E-3"/>
                  <c:y val="-5.783573928258967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E4F-4965-87DB-565D46D2C389}"/>
                </c:ext>
                <c:ext xmlns:c15="http://schemas.microsoft.com/office/drawing/2012/chart" uri="{CE6537A1-D6FC-4f65-9D91-7224C49458BB}"/>
              </c:extLst>
            </c:dLbl>
            <c:dLbl>
              <c:idx val="11"/>
              <c:layout>
                <c:manualLayout>
                  <c:x val="-5.2858439262055947E-2"/>
                  <c:y val="-3.503952538477068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3E4F-4965-87DB-565D46D2C389}"/>
                </c:ext>
                <c:ext xmlns:c15="http://schemas.microsoft.com/office/drawing/2012/chart" uri="{CE6537A1-D6FC-4f65-9D91-7224C49458BB}"/>
              </c:extLst>
            </c:dLbl>
            <c:dLbl>
              <c:idx val="12"/>
              <c:layout>
                <c:manualLayout>
                  <c:x val="-6.8222222222222267E-2"/>
                  <c:y val="3.938648293963246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E4F-4965-87DB-565D46D2C389}"/>
                </c:ext>
                <c:ext xmlns:c15="http://schemas.microsoft.com/office/drawing/2012/chart" uri="{CE6537A1-D6FC-4f65-9D91-7224C49458BB}"/>
              </c:extLst>
            </c:dLbl>
            <c:dLbl>
              <c:idx val="13"/>
              <c:layout>
                <c:manualLayout>
                  <c:x val="-4.3222222222222224E-2"/>
                  <c:y val="3.938648293963254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3E4F-4965-87DB-565D46D2C389}"/>
                </c:ext>
                <c:ext xmlns:c15="http://schemas.microsoft.com/office/drawing/2012/chart" uri="{CE6537A1-D6FC-4f65-9D91-7224C49458BB}"/>
              </c:extLst>
            </c:dLbl>
            <c:dLbl>
              <c:idx val="15"/>
              <c:layout>
                <c:manualLayout>
                  <c:x val="-4.0444444444444443E-2"/>
                  <c:y val="4.401611256926217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3E4F-4965-87DB-565D46D2C389}"/>
                </c:ext>
                <c:ext xmlns:c15="http://schemas.microsoft.com/office/drawing/2012/chart" uri="{CE6537A1-D6FC-4f65-9D91-7224C49458BB}"/>
              </c:extLst>
            </c:dLbl>
            <c:dLbl>
              <c:idx val="16"/>
              <c:layout>
                <c:manualLayout>
                  <c:x val="-1.8222222222222324E-2"/>
                  <c:y val="1.160870516185476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3E4F-4965-87DB-565D46D2C389}"/>
                </c:ext>
                <c:ext xmlns:c15="http://schemas.microsoft.com/office/drawing/2012/chart" uri="{CE6537A1-D6FC-4f65-9D91-7224C49458BB}"/>
              </c:extLst>
            </c:dLbl>
            <c:dLbl>
              <c:idx val="18"/>
              <c:layout>
                <c:manualLayout>
                  <c:x val="-3.4888888888888886E-2"/>
                  <c:y val="4.401611256926217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3E4F-4965-87DB-565D46D2C389}"/>
                </c:ext>
                <c:ext xmlns:c15="http://schemas.microsoft.com/office/drawing/2012/chart" uri="{CE6537A1-D6FC-4f65-9D91-7224C49458BB}"/>
              </c:extLst>
            </c:dLbl>
            <c:dLbl>
              <c:idx val="19"/>
              <c:layout>
                <c:manualLayout>
                  <c:x val="-5.013572180196238E-2"/>
                  <c:y val="-2.320520585814347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3E4F-4965-87DB-565D46D2C389}"/>
                </c:ext>
                <c:ext xmlns:c15="http://schemas.microsoft.com/office/drawing/2012/chart" uri="{CE6537A1-D6FC-4f65-9D91-7224C49458BB}"/>
              </c:extLst>
            </c:dLbl>
            <c:dLbl>
              <c:idx val="20"/>
              <c:layout>
                <c:manualLayout>
                  <c:x val="-2.9333333333333333E-2"/>
                  <c:y val="-0.1133912948381453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3E4F-4965-87DB-565D46D2C389}"/>
                </c:ext>
                <c:ext xmlns:c15="http://schemas.microsoft.com/office/drawing/2012/chart" uri="{CE6537A1-D6FC-4f65-9D91-7224C49458BB}"/>
              </c:extLst>
            </c:dLbl>
            <c:dLbl>
              <c:idx val="22"/>
              <c:layout>
                <c:manualLayout>
                  <c:x val="-4.3222222222222224E-2"/>
                  <c:y val="-9.950240594925634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3E4F-4965-87DB-565D46D2C389}"/>
                </c:ext>
                <c:ext xmlns:c15="http://schemas.microsoft.com/office/drawing/2012/chart" uri="{CE6537A1-D6FC-4f65-9D91-7224C49458BB}"/>
              </c:extLst>
            </c:dLbl>
            <c:dLbl>
              <c:idx val="23"/>
              <c:layout>
                <c:manualLayout>
                  <c:x val="4.444444444443426E-4"/>
                  <c:y val="-1.61690726159230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3E4F-4965-87DB-565D46D2C389}"/>
                </c:ext>
                <c:ext xmlns:c15="http://schemas.microsoft.com/office/drawing/2012/chart" uri="{CE6537A1-D6FC-4f65-9D91-7224C49458BB}"/>
              </c:extLst>
            </c:dLbl>
            <c:dLbl>
              <c:idx val="26"/>
              <c:layout>
                <c:manualLayout>
                  <c:x val="-7.9330708661437695E-4"/>
                  <c:y val="-8.098388743073782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3E4F-4965-87DB-565D46D2C389}"/>
                </c:ext>
                <c:ext xmlns:c15="http://schemas.microsoft.com/office/drawing/2012/chart" uri="{CE6537A1-D6FC-4f65-9D91-7224C49458BB}"/>
              </c:extLst>
            </c:dLbl>
            <c:dLbl>
              <c:idx val="32"/>
              <c:layout>
                <c:manualLayout>
                  <c:x val="-4.5780083667407288E-2"/>
                  <c:y val="-0.1218245352467036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1D7-4733-AD5C-218BD47516E5}"/>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Sheet1!$C$2:$AL$2</c:f>
              <c:strCache>
                <c:ptCount val="36"/>
                <c:pt idx="0">
                  <c:v>2016-01</c:v>
                </c:pt>
                <c:pt idx="1">
                  <c:v>2016-02</c:v>
                </c:pt>
                <c:pt idx="2">
                  <c:v>2016-03</c:v>
                </c:pt>
                <c:pt idx="3">
                  <c:v>2016-04</c:v>
                </c:pt>
                <c:pt idx="4">
                  <c:v>2016-05</c:v>
                </c:pt>
                <c:pt idx="5">
                  <c:v>2016-06</c:v>
                </c:pt>
                <c:pt idx="6">
                  <c:v>2016-07</c:v>
                </c:pt>
                <c:pt idx="7">
                  <c:v>2016-08</c:v>
                </c:pt>
                <c:pt idx="8">
                  <c:v>2016-09</c:v>
                </c:pt>
                <c:pt idx="9">
                  <c:v>2016-10</c:v>
                </c:pt>
                <c:pt idx="10">
                  <c:v>2016-11</c:v>
                </c:pt>
                <c:pt idx="11">
                  <c:v>2016-12</c:v>
                </c:pt>
                <c:pt idx="12">
                  <c:v>2017-01</c:v>
                </c:pt>
                <c:pt idx="13">
                  <c:v>2017-02</c:v>
                </c:pt>
                <c:pt idx="14">
                  <c:v>2017-03</c:v>
                </c:pt>
                <c:pt idx="15">
                  <c:v>2017-04</c:v>
                </c:pt>
                <c:pt idx="16">
                  <c:v>2017-05</c:v>
                </c:pt>
                <c:pt idx="17">
                  <c:v>2017-06</c:v>
                </c:pt>
                <c:pt idx="18">
                  <c:v>2017-07</c:v>
                </c:pt>
                <c:pt idx="19">
                  <c:v>2017-08</c:v>
                </c:pt>
                <c:pt idx="20">
                  <c:v>2017-09</c:v>
                </c:pt>
                <c:pt idx="21">
                  <c:v>2017-10</c:v>
                </c:pt>
                <c:pt idx="22">
                  <c:v>2017-11</c:v>
                </c:pt>
                <c:pt idx="23">
                  <c:v>2017-12</c:v>
                </c:pt>
                <c:pt idx="24">
                  <c:v>2018-01</c:v>
                </c:pt>
                <c:pt idx="25">
                  <c:v>2018-02</c:v>
                </c:pt>
                <c:pt idx="26">
                  <c:v>2018-03</c:v>
                </c:pt>
                <c:pt idx="27">
                  <c:v>2018-04</c:v>
                </c:pt>
                <c:pt idx="28">
                  <c:v>2018-05</c:v>
                </c:pt>
                <c:pt idx="29">
                  <c:v>2018-06</c:v>
                </c:pt>
                <c:pt idx="30">
                  <c:v>2018-07</c:v>
                </c:pt>
                <c:pt idx="31">
                  <c:v>2018-08</c:v>
                </c:pt>
                <c:pt idx="32">
                  <c:v>2018-09</c:v>
                </c:pt>
                <c:pt idx="33">
                  <c:v>2018-10</c:v>
                </c:pt>
                <c:pt idx="34">
                  <c:v>2018-11</c:v>
                </c:pt>
                <c:pt idx="35">
                  <c:v>2018-12</c:v>
                </c:pt>
              </c:strCache>
            </c:strRef>
          </c:cat>
          <c:val>
            <c:numRef>
              <c:f>Sheet1!$C$6:$AL$6</c:f>
              <c:numCache>
                <c:formatCode>General</c:formatCode>
                <c:ptCount val="36"/>
                <c:pt idx="0">
                  <c:v>-7.5</c:v>
                </c:pt>
                <c:pt idx="1">
                  <c:v>-3.2999999999999972</c:v>
                </c:pt>
                <c:pt idx="2">
                  <c:v>-2.5</c:v>
                </c:pt>
                <c:pt idx="3">
                  <c:v>-0.40000000000000568</c:v>
                </c:pt>
                <c:pt idx="4">
                  <c:v>4.4000000000000057</c:v>
                </c:pt>
                <c:pt idx="5">
                  <c:v>4.2000000000000028</c:v>
                </c:pt>
                <c:pt idx="6">
                  <c:v>1.5</c:v>
                </c:pt>
                <c:pt idx="7">
                  <c:v>7.9000000000000057</c:v>
                </c:pt>
                <c:pt idx="8">
                  <c:v>-1.0999999999999943</c:v>
                </c:pt>
                <c:pt idx="9">
                  <c:v>-2.2999999999999972</c:v>
                </c:pt>
                <c:pt idx="10">
                  <c:v>-0.5</c:v>
                </c:pt>
                <c:pt idx="11">
                  <c:v>12.099999999999994</c:v>
                </c:pt>
                <c:pt idx="12">
                  <c:v>-3.5</c:v>
                </c:pt>
                <c:pt idx="13">
                  <c:v>-7.9000000000000057</c:v>
                </c:pt>
                <c:pt idx="14">
                  <c:v>-1</c:v>
                </c:pt>
                <c:pt idx="15">
                  <c:v>-6.2999999999999972</c:v>
                </c:pt>
                <c:pt idx="16">
                  <c:v>-4.5</c:v>
                </c:pt>
                <c:pt idx="17">
                  <c:v>-0.79999999999999716</c:v>
                </c:pt>
                <c:pt idx="18">
                  <c:v>-6.2999999999999972</c:v>
                </c:pt>
                <c:pt idx="19">
                  <c:v>-1.7000000000000028</c:v>
                </c:pt>
                <c:pt idx="20">
                  <c:v>-2.4000000000000057</c:v>
                </c:pt>
                <c:pt idx="21">
                  <c:v>-4.2000000000000028</c:v>
                </c:pt>
                <c:pt idx="22">
                  <c:v>-2.7000000000000028</c:v>
                </c:pt>
                <c:pt idx="23">
                  <c:v>-10.900000000000006</c:v>
                </c:pt>
                <c:pt idx="24">
                  <c:v>9.0999999999999943</c:v>
                </c:pt>
                <c:pt idx="25">
                  <c:v>6.5</c:v>
                </c:pt>
                <c:pt idx="26">
                  <c:v>3.4000000000000057</c:v>
                </c:pt>
                <c:pt idx="27">
                  <c:v>11.400000000000006</c:v>
                </c:pt>
                <c:pt idx="28">
                  <c:v>4.7</c:v>
                </c:pt>
                <c:pt idx="29">
                  <c:v>3.3</c:v>
                </c:pt>
                <c:pt idx="30">
                  <c:v>10.199999999999999</c:v>
                </c:pt>
                <c:pt idx="31">
                  <c:v>6.6</c:v>
                </c:pt>
                <c:pt idx="32">
                  <c:v>6.3</c:v>
                </c:pt>
                <c:pt idx="33">
                  <c:v>7.1</c:v>
                </c:pt>
                <c:pt idx="34">
                  <c:v>5.8</c:v>
                </c:pt>
                <c:pt idx="35">
                  <c:v>7.5</c:v>
                </c:pt>
              </c:numCache>
            </c:numRef>
          </c:val>
          <c:smooth val="1"/>
          <c:extLst xmlns:c16r2="http://schemas.microsoft.com/office/drawing/2015/06/chart">
            <c:ext xmlns:c16="http://schemas.microsoft.com/office/drawing/2014/chart" uri="{C3380CC4-5D6E-409C-BE32-E72D297353CC}">
              <c16:uniqueId val="{00000013-3E4F-4965-87DB-565D46D2C389}"/>
            </c:ext>
          </c:extLst>
        </c:ser>
        <c:dLbls>
          <c:showLegendKey val="0"/>
          <c:showVal val="0"/>
          <c:showCatName val="0"/>
          <c:showSerName val="0"/>
          <c:showPercent val="0"/>
          <c:showBubbleSize val="0"/>
        </c:dLbls>
        <c:smooth val="0"/>
        <c:axId val="665762864"/>
        <c:axId val="665751888"/>
      </c:lineChart>
      <c:catAx>
        <c:axId val="665762864"/>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low"/>
        <c:spPr>
          <a:noFill/>
          <a:ln w="15875" cap="flat" cmpd="sng" algn="ctr">
            <a:solidFill>
              <a:schemeClr val="tx1">
                <a:lumMod val="50000"/>
                <a:lumOff val="50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665751888"/>
        <c:crosses val="autoZero"/>
        <c:auto val="1"/>
        <c:lblAlgn val="ctr"/>
        <c:lblOffset val="100"/>
        <c:tickLblSkip val="1"/>
        <c:noMultiLvlLbl val="0"/>
      </c:catAx>
      <c:valAx>
        <c:axId val="665751888"/>
        <c:scaling>
          <c:orientation val="minMax"/>
          <c:max val="13"/>
          <c:min val="-12"/>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665762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227849175127153E-2"/>
          <c:y val="0.1656336897004238"/>
          <c:w val="0.87545870111627133"/>
          <c:h val="0.65004198483482445"/>
        </c:manualLayout>
      </c:layout>
      <c:lineChart>
        <c:grouping val="standard"/>
        <c:varyColors val="0"/>
        <c:ser>
          <c:idx val="0"/>
          <c:order val="0"/>
          <c:spPr>
            <a:ln w="28575" cap="rnd">
              <a:solidFill>
                <a:schemeClr val="accent1"/>
              </a:solidFill>
              <a:round/>
            </a:ln>
            <a:effectLst/>
          </c:spPr>
          <c:marker>
            <c:symbol val="none"/>
          </c:marker>
          <c:dLbls>
            <c:dLbl>
              <c:idx val="0"/>
              <c:layout>
                <c:manualLayout>
                  <c:x val="-4.5601796135467755E-2"/>
                  <c:y val="4.245777957188127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481-4974-B216-3066B6766BCE}"/>
                </c:ext>
                <c:ext xmlns:c15="http://schemas.microsoft.com/office/drawing/2012/chart" uri="{CE6537A1-D6FC-4f65-9D91-7224C49458BB}"/>
              </c:extLst>
            </c:dLbl>
            <c:dLbl>
              <c:idx val="4"/>
              <c:layout>
                <c:manualLayout>
                  <c:x val="-5.4997770613929547E-2"/>
                  <c:y val="6.925212139454343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481-4974-B216-3066B6766BCE}"/>
                </c:ext>
                <c:ext xmlns:c15="http://schemas.microsoft.com/office/drawing/2012/chart" uri="{CE6537A1-D6FC-4f65-9D91-7224C49458BB}"/>
              </c:extLst>
            </c:dLbl>
            <c:dLbl>
              <c:idx val="6"/>
              <c:layout>
                <c:manualLayout>
                  <c:x val="-2.9941838671364875E-2"/>
                  <c:y val="4.245777957188127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481-4974-B216-3066B6766BCE}"/>
                </c:ext>
                <c:ext xmlns:c15="http://schemas.microsoft.com/office/drawing/2012/chart" uri="{CE6537A1-D6FC-4f65-9D91-7224C49458BB}"/>
              </c:extLst>
            </c:dLbl>
            <c:dLbl>
              <c:idx val="10"/>
              <c:layout>
                <c:manualLayout>
                  <c:x val="-5.1865779121108992E-2"/>
                  <c:y val="4.692350320899164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481-4974-B216-3066B6766BCE}"/>
                </c:ext>
                <c:ext xmlns:c15="http://schemas.microsoft.com/office/drawing/2012/chart" uri="{CE6537A1-D6FC-4f65-9D91-7224C49458BB}"/>
              </c:extLst>
            </c:dLbl>
            <c:dLbl>
              <c:idx val="11"/>
              <c:layout>
                <c:manualLayout>
                  <c:x val="-3.9337813149826636E-2"/>
                  <c:y val="2.012916138632939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481-4974-B216-3066B6766BCE}"/>
                </c:ext>
                <c:ext xmlns:c15="http://schemas.microsoft.com/office/drawing/2012/chart" uri="{CE6537A1-D6FC-4f65-9D91-7224C49458BB}"/>
              </c:extLst>
            </c:dLbl>
            <c:dLbl>
              <c:idx val="13"/>
              <c:layout>
                <c:manualLayout>
                  <c:x val="-4.8733787628288346E-2"/>
                  <c:y val="2.906060866055006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481-4974-B216-3066B6766BCE}"/>
                </c:ext>
                <c:ext xmlns:c15="http://schemas.microsoft.com/office/drawing/2012/chart" uri="{CE6537A1-D6FC-4f65-9D91-7224C49458BB}"/>
              </c:extLst>
            </c:dLbl>
            <c:dLbl>
              <c:idx val="15"/>
              <c:layout>
                <c:manualLayout>
                  <c:x val="-4.5601796135467755E-2"/>
                  <c:y val="2.906060866055014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481-4974-B216-3066B6766BCE}"/>
                </c:ext>
                <c:ext xmlns:c15="http://schemas.microsoft.com/office/drawing/2012/chart" uri="{CE6537A1-D6FC-4f65-9D91-7224C49458BB}"/>
              </c:extLst>
            </c:dLbl>
            <c:dLbl>
              <c:idx val="20"/>
              <c:layout>
                <c:manualLayout>
                  <c:x val="-5.2742736739098808E-2"/>
                  <c:y val="1.119771411210865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481-4974-B216-3066B6766BCE}"/>
                </c:ext>
                <c:ext xmlns:c15="http://schemas.microsoft.com/office/drawing/2012/chart" uri="{CE6537A1-D6FC-4f65-9D91-7224C49458BB}"/>
              </c:extLst>
            </c:dLbl>
            <c:dLbl>
              <c:idx val="26"/>
              <c:layout>
                <c:manualLayout>
                  <c:x val="-1.4200252137645848E-2"/>
                  <c:y val="2.906060866055014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481-4974-B216-3066B6766BCE}"/>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Sheet1!$C$2:$AL$2</c:f>
              <c:strCache>
                <c:ptCount val="36"/>
                <c:pt idx="0">
                  <c:v>2016-01</c:v>
                </c:pt>
                <c:pt idx="1">
                  <c:v>2016-02</c:v>
                </c:pt>
                <c:pt idx="2">
                  <c:v>2016-03</c:v>
                </c:pt>
                <c:pt idx="3">
                  <c:v>2016-04</c:v>
                </c:pt>
                <c:pt idx="4">
                  <c:v>2016-05</c:v>
                </c:pt>
                <c:pt idx="5">
                  <c:v>2016-06</c:v>
                </c:pt>
                <c:pt idx="6">
                  <c:v>2016-07</c:v>
                </c:pt>
                <c:pt idx="7">
                  <c:v>2016-08</c:v>
                </c:pt>
                <c:pt idx="8">
                  <c:v>2016-09</c:v>
                </c:pt>
                <c:pt idx="9">
                  <c:v>2016-10</c:v>
                </c:pt>
                <c:pt idx="10">
                  <c:v>2016-11</c:v>
                </c:pt>
                <c:pt idx="11">
                  <c:v>2016-12</c:v>
                </c:pt>
                <c:pt idx="12">
                  <c:v>2017-01</c:v>
                </c:pt>
                <c:pt idx="13">
                  <c:v>2017-02</c:v>
                </c:pt>
                <c:pt idx="14">
                  <c:v>2017-03</c:v>
                </c:pt>
                <c:pt idx="15">
                  <c:v>2017-04</c:v>
                </c:pt>
                <c:pt idx="16">
                  <c:v>2017-05</c:v>
                </c:pt>
                <c:pt idx="17">
                  <c:v>2017-06</c:v>
                </c:pt>
                <c:pt idx="18">
                  <c:v>2017-07</c:v>
                </c:pt>
                <c:pt idx="19">
                  <c:v>2017-08</c:v>
                </c:pt>
                <c:pt idx="20">
                  <c:v>2017-09</c:v>
                </c:pt>
                <c:pt idx="21">
                  <c:v>2017-10</c:v>
                </c:pt>
                <c:pt idx="22">
                  <c:v>2017-11</c:v>
                </c:pt>
                <c:pt idx="23">
                  <c:v>2017-12</c:v>
                </c:pt>
                <c:pt idx="24">
                  <c:v>2018-01</c:v>
                </c:pt>
                <c:pt idx="25">
                  <c:v>2018-02</c:v>
                </c:pt>
                <c:pt idx="26">
                  <c:v>2018-03</c:v>
                </c:pt>
                <c:pt idx="27">
                  <c:v>2018-04</c:v>
                </c:pt>
                <c:pt idx="28">
                  <c:v>2018-05</c:v>
                </c:pt>
                <c:pt idx="29">
                  <c:v>2018-06</c:v>
                </c:pt>
                <c:pt idx="30">
                  <c:v>2018-07</c:v>
                </c:pt>
                <c:pt idx="31">
                  <c:v>2018-08</c:v>
                </c:pt>
                <c:pt idx="32">
                  <c:v>2018-09</c:v>
                </c:pt>
                <c:pt idx="33">
                  <c:v>2018-10</c:v>
                </c:pt>
                <c:pt idx="34">
                  <c:v>2018-11</c:v>
                </c:pt>
                <c:pt idx="35">
                  <c:v>2018-12</c:v>
                </c:pt>
              </c:strCache>
            </c:strRef>
          </c:cat>
          <c:val>
            <c:numRef>
              <c:f>Sheet1!$C$12:$AL$12</c:f>
              <c:numCache>
                <c:formatCode>General</c:formatCode>
                <c:ptCount val="36"/>
                <c:pt idx="0">
                  <c:v>-0.79999999999999716</c:v>
                </c:pt>
                <c:pt idx="1">
                  <c:v>1.2000000000000028</c:v>
                </c:pt>
                <c:pt idx="2">
                  <c:v>5.2000000000000028</c:v>
                </c:pt>
                <c:pt idx="3">
                  <c:v>2.5999999999999943</c:v>
                </c:pt>
                <c:pt idx="4">
                  <c:v>-7.4000000000000057</c:v>
                </c:pt>
                <c:pt idx="5">
                  <c:v>-6.5999999999999943</c:v>
                </c:pt>
                <c:pt idx="6">
                  <c:v>-5.7000000000000028</c:v>
                </c:pt>
                <c:pt idx="7">
                  <c:v>1.7999999999999972</c:v>
                </c:pt>
                <c:pt idx="8">
                  <c:v>15.799999999999997</c:v>
                </c:pt>
                <c:pt idx="9">
                  <c:v>5.2000000000000028</c:v>
                </c:pt>
                <c:pt idx="10">
                  <c:v>-0.90000000000000568</c:v>
                </c:pt>
                <c:pt idx="11">
                  <c:v>-0.70000000000000284</c:v>
                </c:pt>
                <c:pt idx="12">
                  <c:v>5.2000000000000028</c:v>
                </c:pt>
                <c:pt idx="13">
                  <c:v>-5.4000000000000057</c:v>
                </c:pt>
                <c:pt idx="14">
                  <c:v>4.4000000000000057</c:v>
                </c:pt>
                <c:pt idx="15">
                  <c:v>-5.7000000000000028</c:v>
                </c:pt>
                <c:pt idx="16">
                  <c:v>8.4000000000000057</c:v>
                </c:pt>
                <c:pt idx="17">
                  <c:v>8.4000000000000057</c:v>
                </c:pt>
                <c:pt idx="18">
                  <c:v>2.2999999999999972</c:v>
                </c:pt>
                <c:pt idx="19">
                  <c:v>-1</c:v>
                </c:pt>
                <c:pt idx="20">
                  <c:v>-13.099999999999994</c:v>
                </c:pt>
                <c:pt idx="21">
                  <c:v>-5.4000000000000057</c:v>
                </c:pt>
                <c:pt idx="22">
                  <c:v>-2.7000000000000028</c:v>
                </c:pt>
                <c:pt idx="23">
                  <c:v>4.5999999999999943</c:v>
                </c:pt>
                <c:pt idx="24">
                  <c:v>6.5999999999999943</c:v>
                </c:pt>
                <c:pt idx="25">
                  <c:v>10.700000000000003</c:v>
                </c:pt>
                <c:pt idx="26">
                  <c:v>4.2999999999999972</c:v>
                </c:pt>
                <c:pt idx="27">
                  <c:v>12.099999999999994</c:v>
                </c:pt>
                <c:pt idx="28">
                  <c:v>10.3</c:v>
                </c:pt>
                <c:pt idx="29">
                  <c:v>11.9</c:v>
                </c:pt>
                <c:pt idx="30">
                  <c:v>5.6</c:v>
                </c:pt>
                <c:pt idx="31">
                  <c:v>10.6</c:v>
                </c:pt>
                <c:pt idx="32">
                  <c:v>19.5</c:v>
                </c:pt>
                <c:pt idx="33">
                  <c:v>16.899999999999999</c:v>
                </c:pt>
                <c:pt idx="34">
                  <c:v>12.9</c:v>
                </c:pt>
                <c:pt idx="35">
                  <c:v>5.2</c:v>
                </c:pt>
              </c:numCache>
            </c:numRef>
          </c:val>
          <c:smooth val="1"/>
          <c:extLst xmlns:c16r2="http://schemas.microsoft.com/office/drawing/2015/06/chart">
            <c:ext xmlns:c16="http://schemas.microsoft.com/office/drawing/2014/chart" uri="{C3380CC4-5D6E-409C-BE32-E72D297353CC}">
              <c16:uniqueId val="{00000009-0481-4974-B216-3066B6766BCE}"/>
            </c:ext>
          </c:extLst>
        </c:ser>
        <c:dLbls>
          <c:showLegendKey val="0"/>
          <c:showVal val="0"/>
          <c:showCatName val="0"/>
          <c:showSerName val="0"/>
          <c:showPercent val="0"/>
          <c:showBubbleSize val="0"/>
        </c:dLbls>
        <c:smooth val="0"/>
        <c:axId val="665749928"/>
        <c:axId val="665776584"/>
      </c:lineChart>
      <c:catAx>
        <c:axId val="665749928"/>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low"/>
        <c:spPr>
          <a:noFill/>
          <a:ln w="15875" cap="flat" cmpd="sng" algn="ctr">
            <a:solidFill>
              <a:schemeClr val="tx1">
                <a:lumMod val="50000"/>
                <a:lumOff val="50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665776584"/>
        <c:crosses val="autoZero"/>
        <c:auto val="1"/>
        <c:lblAlgn val="ctr"/>
        <c:lblOffset val="100"/>
        <c:tickLblSkip val="1"/>
        <c:noMultiLvlLbl val="0"/>
      </c:catAx>
      <c:valAx>
        <c:axId val="665776584"/>
        <c:scaling>
          <c:orientation val="minMax"/>
          <c:max val="20"/>
          <c:min val="-14"/>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665749928"/>
        <c:crosses val="autoZero"/>
        <c:crossBetween val="between"/>
        <c:majorUnit val="4"/>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n-US"/>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Sheet1!$B$82</c:f>
              <c:strCache>
                <c:ptCount val="1"/>
                <c:pt idx="0">
                  <c:v>Comert cu ridicata</c:v>
                </c:pt>
              </c:strCache>
            </c:strRef>
          </c:tx>
          <c:spPr>
            <a:ln w="28575" cap="rnd">
              <a:solidFill>
                <a:schemeClr val="accent1"/>
              </a:solidFill>
              <a:round/>
            </a:ln>
            <a:effectLst/>
          </c:spPr>
          <c:marker>
            <c:symbol val="none"/>
          </c:marker>
          <c:cat>
            <c:strRef>
              <c:f>Sheet1!$C$79:$AL$79</c:f>
              <c:strCache>
                <c:ptCount val="36"/>
                <c:pt idx="0">
                  <c:v>2016-01</c:v>
                </c:pt>
                <c:pt idx="1">
                  <c:v>2016-02</c:v>
                </c:pt>
                <c:pt idx="2">
                  <c:v>2016-03</c:v>
                </c:pt>
                <c:pt idx="3">
                  <c:v>2016-04</c:v>
                </c:pt>
                <c:pt idx="4">
                  <c:v>2016-05</c:v>
                </c:pt>
                <c:pt idx="5">
                  <c:v>2016-06</c:v>
                </c:pt>
                <c:pt idx="6">
                  <c:v>2016-07</c:v>
                </c:pt>
                <c:pt idx="7">
                  <c:v>2016-08</c:v>
                </c:pt>
                <c:pt idx="8">
                  <c:v>2016-09</c:v>
                </c:pt>
                <c:pt idx="9">
                  <c:v>2016-10</c:v>
                </c:pt>
                <c:pt idx="10">
                  <c:v>2016-11</c:v>
                </c:pt>
                <c:pt idx="11">
                  <c:v>2016-12</c:v>
                </c:pt>
                <c:pt idx="12">
                  <c:v>2017-01</c:v>
                </c:pt>
                <c:pt idx="13">
                  <c:v>2017-02</c:v>
                </c:pt>
                <c:pt idx="14">
                  <c:v>2017-03</c:v>
                </c:pt>
                <c:pt idx="15">
                  <c:v>2017-04</c:v>
                </c:pt>
                <c:pt idx="16">
                  <c:v>2017-05</c:v>
                </c:pt>
                <c:pt idx="17">
                  <c:v>2017-06</c:v>
                </c:pt>
                <c:pt idx="18">
                  <c:v>2017-07</c:v>
                </c:pt>
                <c:pt idx="19">
                  <c:v>2017-08</c:v>
                </c:pt>
                <c:pt idx="20">
                  <c:v>2017-09</c:v>
                </c:pt>
                <c:pt idx="21">
                  <c:v>2017-10</c:v>
                </c:pt>
                <c:pt idx="22">
                  <c:v>2017-11</c:v>
                </c:pt>
                <c:pt idx="23">
                  <c:v>2017-12</c:v>
                </c:pt>
                <c:pt idx="24">
                  <c:v>2018-01</c:v>
                </c:pt>
                <c:pt idx="25">
                  <c:v>2018-02</c:v>
                </c:pt>
                <c:pt idx="26">
                  <c:v>2018-03</c:v>
                </c:pt>
                <c:pt idx="27">
                  <c:v>2018-04</c:v>
                </c:pt>
                <c:pt idx="28">
                  <c:v>2018-05</c:v>
                </c:pt>
                <c:pt idx="29">
                  <c:v>2018-06</c:v>
                </c:pt>
                <c:pt idx="30">
                  <c:v>2018-07</c:v>
                </c:pt>
                <c:pt idx="31">
                  <c:v>2018-08</c:v>
                </c:pt>
                <c:pt idx="32">
                  <c:v>2018-09</c:v>
                </c:pt>
                <c:pt idx="33">
                  <c:v>2018-10</c:v>
                </c:pt>
                <c:pt idx="34">
                  <c:v>2018-11</c:v>
                </c:pt>
                <c:pt idx="35">
                  <c:v>2018-12</c:v>
                </c:pt>
              </c:strCache>
            </c:strRef>
          </c:cat>
          <c:val>
            <c:numRef>
              <c:f>Sheet1!$C$82:$AL$82</c:f>
              <c:numCache>
                <c:formatCode>General</c:formatCode>
                <c:ptCount val="36"/>
                <c:pt idx="0">
                  <c:v>-7.0999999999999943</c:v>
                </c:pt>
                <c:pt idx="1">
                  <c:v>-11.799999999999997</c:v>
                </c:pt>
                <c:pt idx="2">
                  <c:v>-0.79999999999999716</c:v>
                </c:pt>
                <c:pt idx="3">
                  <c:v>4.2000000000000028</c:v>
                </c:pt>
                <c:pt idx="4">
                  <c:v>-4.4000000000000057</c:v>
                </c:pt>
                <c:pt idx="5">
                  <c:v>2.4000000000000057</c:v>
                </c:pt>
                <c:pt idx="6">
                  <c:v>0.40000000000000568</c:v>
                </c:pt>
                <c:pt idx="7">
                  <c:v>17.900000000000006</c:v>
                </c:pt>
                <c:pt idx="8">
                  <c:v>0.79999999999999716</c:v>
                </c:pt>
                <c:pt idx="9">
                  <c:v>-0.70000000000000284</c:v>
                </c:pt>
                <c:pt idx="10">
                  <c:v>18.900000000000006</c:v>
                </c:pt>
                <c:pt idx="11">
                  <c:v>11.900000000000006</c:v>
                </c:pt>
                <c:pt idx="12">
                  <c:v>23.700000000000003</c:v>
                </c:pt>
                <c:pt idx="13">
                  <c:v>31.800000000000011</c:v>
                </c:pt>
                <c:pt idx="14">
                  <c:v>27.799999999999997</c:v>
                </c:pt>
                <c:pt idx="15">
                  <c:v>-2.5999999999999943</c:v>
                </c:pt>
                <c:pt idx="16">
                  <c:v>27</c:v>
                </c:pt>
                <c:pt idx="17">
                  <c:v>12.200000000000003</c:v>
                </c:pt>
                <c:pt idx="18">
                  <c:v>19.799999999999997</c:v>
                </c:pt>
                <c:pt idx="19">
                  <c:v>27.599999999999994</c:v>
                </c:pt>
                <c:pt idx="20">
                  <c:v>21.099999999999994</c:v>
                </c:pt>
                <c:pt idx="21">
                  <c:v>28.900000000000006</c:v>
                </c:pt>
                <c:pt idx="22">
                  <c:v>12.799999999999997</c:v>
                </c:pt>
                <c:pt idx="23">
                  <c:v>16.700000000000003</c:v>
                </c:pt>
                <c:pt idx="24">
                  <c:v>20</c:v>
                </c:pt>
                <c:pt idx="25">
                  <c:v>8.5</c:v>
                </c:pt>
                <c:pt idx="26">
                  <c:v>-9.7000000000000028</c:v>
                </c:pt>
                <c:pt idx="27">
                  <c:v>17.200000000000003</c:v>
                </c:pt>
                <c:pt idx="28">
                  <c:v>9.1999999999999993</c:v>
                </c:pt>
                <c:pt idx="29">
                  <c:v>10.8</c:v>
                </c:pt>
                <c:pt idx="30">
                  <c:v>13.9</c:v>
                </c:pt>
                <c:pt idx="31">
                  <c:v>4.9000000000000004</c:v>
                </c:pt>
                <c:pt idx="32">
                  <c:v>3</c:v>
                </c:pt>
                <c:pt idx="33">
                  <c:v>9</c:v>
                </c:pt>
                <c:pt idx="34">
                  <c:v>-0.1</c:v>
                </c:pt>
                <c:pt idx="35">
                  <c:v>3</c:v>
                </c:pt>
              </c:numCache>
            </c:numRef>
          </c:val>
          <c:smooth val="1"/>
          <c:extLst xmlns:c16r2="http://schemas.microsoft.com/office/drawing/2015/06/chart">
            <c:ext xmlns:c16="http://schemas.microsoft.com/office/drawing/2014/chart" uri="{C3380CC4-5D6E-409C-BE32-E72D297353CC}">
              <c16:uniqueId val="{00000000-958F-45C4-BCCD-EBB0342A0244}"/>
            </c:ext>
          </c:extLst>
        </c:ser>
        <c:ser>
          <c:idx val="1"/>
          <c:order val="1"/>
          <c:tx>
            <c:strRef>
              <c:f>Sheet1!$B$87</c:f>
              <c:strCache>
                <c:ptCount val="1"/>
                <c:pt idx="0">
                  <c:v>Servicii prestate intreprinderilor</c:v>
                </c:pt>
              </c:strCache>
            </c:strRef>
          </c:tx>
          <c:spPr>
            <a:ln w="28575" cap="rnd">
              <a:solidFill>
                <a:schemeClr val="tx2"/>
              </a:solidFill>
              <a:prstDash val="sysDash"/>
              <a:round/>
            </a:ln>
            <a:effectLst/>
          </c:spPr>
          <c:marker>
            <c:symbol val="none"/>
          </c:marker>
          <c:cat>
            <c:strRef>
              <c:f>Sheet1!$C$79:$AL$79</c:f>
              <c:strCache>
                <c:ptCount val="36"/>
                <c:pt idx="0">
                  <c:v>2016-01</c:v>
                </c:pt>
                <c:pt idx="1">
                  <c:v>2016-02</c:v>
                </c:pt>
                <c:pt idx="2">
                  <c:v>2016-03</c:v>
                </c:pt>
                <c:pt idx="3">
                  <c:v>2016-04</c:v>
                </c:pt>
                <c:pt idx="4">
                  <c:v>2016-05</c:v>
                </c:pt>
                <c:pt idx="5">
                  <c:v>2016-06</c:v>
                </c:pt>
                <c:pt idx="6">
                  <c:v>2016-07</c:v>
                </c:pt>
                <c:pt idx="7">
                  <c:v>2016-08</c:v>
                </c:pt>
                <c:pt idx="8">
                  <c:v>2016-09</c:v>
                </c:pt>
                <c:pt idx="9">
                  <c:v>2016-10</c:v>
                </c:pt>
                <c:pt idx="10">
                  <c:v>2016-11</c:v>
                </c:pt>
                <c:pt idx="11">
                  <c:v>2016-12</c:v>
                </c:pt>
                <c:pt idx="12">
                  <c:v>2017-01</c:v>
                </c:pt>
                <c:pt idx="13">
                  <c:v>2017-02</c:v>
                </c:pt>
                <c:pt idx="14">
                  <c:v>2017-03</c:v>
                </c:pt>
                <c:pt idx="15">
                  <c:v>2017-04</c:v>
                </c:pt>
                <c:pt idx="16">
                  <c:v>2017-05</c:v>
                </c:pt>
                <c:pt idx="17">
                  <c:v>2017-06</c:v>
                </c:pt>
                <c:pt idx="18">
                  <c:v>2017-07</c:v>
                </c:pt>
                <c:pt idx="19">
                  <c:v>2017-08</c:v>
                </c:pt>
                <c:pt idx="20">
                  <c:v>2017-09</c:v>
                </c:pt>
                <c:pt idx="21">
                  <c:v>2017-10</c:v>
                </c:pt>
                <c:pt idx="22">
                  <c:v>2017-11</c:v>
                </c:pt>
                <c:pt idx="23">
                  <c:v>2017-12</c:v>
                </c:pt>
                <c:pt idx="24">
                  <c:v>2018-01</c:v>
                </c:pt>
                <c:pt idx="25">
                  <c:v>2018-02</c:v>
                </c:pt>
                <c:pt idx="26">
                  <c:v>2018-03</c:v>
                </c:pt>
                <c:pt idx="27">
                  <c:v>2018-04</c:v>
                </c:pt>
                <c:pt idx="28">
                  <c:v>2018-05</c:v>
                </c:pt>
                <c:pt idx="29">
                  <c:v>2018-06</c:v>
                </c:pt>
                <c:pt idx="30">
                  <c:v>2018-07</c:v>
                </c:pt>
                <c:pt idx="31">
                  <c:v>2018-08</c:v>
                </c:pt>
                <c:pt idx="32">
                  <c:v>2018-09</c:v>
                </c:pt>
                <c:pt idx="33">
                  <c:v>2018-10</c:v>
                </c:pt>
                <c:pt idx="34">
                  <c:v>2018-11</c:v>
                </c:pt>
                <c:pt idx="35">
                  <c:v>2018-12</c:v>
                </c:pt>
              </c:strCache>
            </c:strRef>
          </c:cat>
          <c:val>
            <c:numRef>
              <c:f>Sheet1!$C$87:$AL$87</c:f>
              <c:numCache>
                <c:formatCode>General</c:formatCode>
                <c:ptCount val="36"/>
                <c:pt idx="0">
                  <c:v>3.7999999999999972</c:v>
                </c:pt>
                <c:pt idx="1">
                  <c:v>4.4000000000000057</c:v>
                </c:pt>
                <c:pt idx="2">
                  <c:v>-0.70000000000000284</c:v>
                </c:pt>
                <c:pt idx="3">
                  <c:v>2.5</c:v>
                </c:pt>
                <c:pt idx="4">
                  <c:v>0.5</c:v>
                </c:pt>
                <c:pt idx="5">
                  <c:v>0.70000000000000284</c:v>
                </c:pt>
                <c:pt idx="6">
                  <c:v>-2.7000000000000028</c:v>
                </c:pt>
                <c:pt idx="7">
                  <c:v>4.2000000000000028</c:v>
                </c:pt>
                <c:pt idx="8">
                  <c:v>2.0999999999999943</c:v>
                </c:pt>
                <c:pt idx="9">
                  <c:v>2.0999999999999943</c:v>
                </c:pt>
                <c:pt idx="10">
                  <c:v>6.5</c:v>
                </c:pt>
                <c:pt idx="11">
                  <c:v>0.59999999999999432</c:v>
                </c:pt>
                <c:pt idx="12">
                  <c:v>11</c:v>
                </c:pt>
                <c:pt idx="13">
                  <c:v>12.299999999999997</c:v>
                </c:pt>
                <c:pt idx="14">
                  <c:v>12</c:v>
                </c:pt>
                <c:pt idx="15">
                  <c:v>4.5999999999999943</c:v>
                </c:pt>
                <c:pt idx="16">
                  <c:v>9.7000000000000028</c:v>
                </c:pt>
                <c:pt idx="17">
                  <c:v>5.7000000000000028</c:v>
                </c:pt>
                <c:pt idx="18">
                  <c:v>9.4000000000000057</c:v>
                </c:pt>
                <c:pt idx="19">
                  <c:v>7.4000000000000057</c:v>
                </c:pt>
                <c:pt idx="20">
                  <c:v>7.2999999999999972</c:v>
                </c:pt>
                <c:pt idx="21">
                  <c:v>8.4000000000000057</c:v>
                </c:pt>
                <c:pt idx="22">
                  <c:v>9.7999999999999972</c:v>
                </c:pt>
                <c:pt idx="23">
                  <c:v>15.599999999999994</c:v>
                </c:pt>
                <c:pt idx="24">
                  <c:v>8.0999999999999943</c:v>
                </c:pt>
                <c:pt idx="25">
                  <c:v>2</c:v>
                </c:pt>
                <c:pt idx="26">
                  <c:v>0.40000000000000568</c:v>
                </c:pt>
                <c:pt idx="27">
                  <c:v>3.9000000000000057</c:v>
                </c:pt>
                <c:pt idx="28">
                  <c:v>1.1000000000000001</c:v>
                </c:pt>
                <c:pt idx="29">
                  <c:v>9.3000000000000007</c:v>
                </c:pt>
                <c:pt idx="30">
                  <c:v>4.0999999999999996</c:v>
                </c:pt>
                <c:pt idx="31">
                  <c:v>2.2000000000000002</c:v>
                </c:pt>
                <c:pt idx="32">
                  <c:v>2</c:v>
                </c:pt>
                <c:pt idx="33">
                  <c:v>4.0999999999999996</c:v>
                </c:pt>
                <c:pt idx="34">
                  <c:v>1.7</c:v>
                </c:pt>
                <c:pt idx="35">
                  <c:v>1.4</c:v>
                </c:pt>
              </c:numCache>
            </c:numRef>
          </c:val>
          <c:smooth val="1"/>
          <c:extLst xmlns:c16r2="http://schemas.microsoft.com/office/drawing/2015/06/chart">
            <c:ext xmlns:c16="http://schemas.microsoft.com/office/drawing/2014/chart" uri="{C3380CC4-5D6E-409C-BE32-E72D297353CC}">
              <c16:uniqueId val="{00000001-958F-45C4-BCCD-EBB0342A0244}"/>
            </c:ext>
          </c:extLst>
        </c:ser>
        <c:dLbls>
          <c:showLegendKey val="0"/>
          <c:showVal val="0"/>
          <c:showCatName val="0"/>
          <c:showSerName val="0"/>
          <c:showPercent val="0"/>
          <c:showBubbleSize val="0"/>
        </c:dLbls>
        <c:smooth val="0"/>
        <c:axId val="665766000"/>
        <c:axId val="665748360"/>
      </c:lineChart>
      <c:catAx>
        <c:axId val="665766000"/>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low"/>
        <c:spPr>
          <a:noFill/>
          <a:ln w="15875" cap="flat" cmpd="sng" algn="ctr">
            <a:solidFill>
              <a:schemeClr val="tx1">
                <a:lumMod val="50000"/>
                <a:lumOff val="50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665748360"/>
        <c:crosses val="autoZero"/>
        <c:auto val="1"/>
        <c:lblAlgn val="ctr"/>
        <c:lblOffset val="100"/>
        <c:tickLblSkip val="1"/>
        <c:noMultiLvlLbl val="0"/>
      </c:catAx>
      <c:valAx>
        <c:axId val="665748360"/>
        <c:scaling>
          <c:orientation val="minMax"/>
          <c:max val="32"/>
          <c:min val="-12"/>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5766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Lbl>
              <c:idx val="2"/>
              <c:layout>
                <c:manualLayout>
                  <c:x val="-6.5173665791776025E-2"/>
                  <c:y val="-5.320610965296004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D42-483E-82ED-90EF2F1E2FF6}"/>
                </c:ext>
                <c:ext xmlns:c15="http://schemas.microsoft.com/office/drawing/2012/chart" uri="{CE6537A1-D6FC-4f65-9D91-7224C49458BB}"/>
              </c:extLst>
            </c:dLbl>
            <c:dLbl>
              <c:idx val="3"/>
              <c:layout>
                <c:manualLayout>
                  <c:x val="-4.5729221347331581E-2"/>
                  <c:y val="-7.635425780110818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D42-483E-82ED-90EF2F1E2FF6}"/>
                </c:ext>
                <c:ext xmlns:c15="http://schemas.microsoft.com/office/drawing/2012/chart" uri="{CE6537A1-D6FC-4f65-9D91-7224C49458BB}"/>
              </c:extLst>
            </c:dLbl>
            <c:dLbl>
              <c:idx val="5"/>
              <c:layout>
                <c:manualLayout>
                  <c:x val="-2.3506999125109413E-2"/>
                  <c:y val="-8.098388743073778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D42-483E-82ED-90EF2F1E2FF6}"/>
                </c:ext>
                <c:ext xmlns:c15="http://schemas.microsoft.com/office/drawing/2012/chart" uri="{CE6537A1-D6FC-4f65-9D91-7224C49458BB}"/>
              </c:extLst>
            </c:dLbl>
            <c:dLbl>
              <c:idx val="6"/>
              <c:layout>
                <c:manualLayout>
                  <c:x val="-3.3840332458442694E-2"/>
                  <c:y val="3.012722368037328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D42-483E-82ED-90EF2F1E2FF6}"/>
                </c:ext>
                <c:ext xmlns:c15="http://schemas.microsoft.com/office/drawing/2012/chart" uri="{CE6537A1-D6FC-4f65-9D91-7224C49458BB}"/>
              </c:extLst>
            </c:dLbl>
            <c:dLbl>
              <c:idx val="9"/>
              <c:layout>
                <c:manualLayout>
                  <c:x val="-4.5729221347331636E-2"/>
                  <c:y val="2.549759405074365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D42-483E-82ED-90EF2F1E2FF6}"/>
                </c:ext>
                <c:ext xmlns:c15="http://schemas.microsoft.com/office/drawing/2012/chart" uri="{CE6537A1-D6FC-4f65-9D91-7224C49458BB}"/>
              </c:extLst>
            </c:dLbl>
            <c:dLbl>
              <c:idx val="11"/>
              <c:layout>
                <c:manualLayout>
                  <c:x val="-4.8506999125109362E-2"/>
                  <c:y val="3.47568533100028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D42-483E-82ED-90EF2F1E2FF6}"/>
                </c:ext>
                <c:ext xmlns:c15="http://schemas.microsoft.com/office/drawing/2012/chart" uri="{CE6537A1-D6FC-4f65-9D91-7224C49458BB}"/>
              </c:extLst>
            </c:dLbl>
            <c:dLbl>
              <c:idx val="12"/>
              <c:layout>
                <c:manualLayout>
                  <c:x val="-7.5904159834483925E-2"/>
                  <c:y val="-3.255595463823563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D42-483E-82ED-90EF2F1E2FF6}"/>
                </c:ext>
                <c:ext xmlns:c15="http://schemas.microsoft.com/office/drawing/2012/chart" uri="{CE6537A1-D6FC-4f65-9D91-7224C49458BB}"/>
              </c:extLst>
            </c:dLbl>
            <c:dLbl>
              <c:idx val="14"/>
              <c:layout>
                <c:manualLayout>
                  <c:x val="-5.0023168072841802E-2"/>
                  <c:y val="-0.10642312511162189"/>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D42-483E-82ED-90EF2F1E2FF6}"/>
                </c:ext>
                <c:ext xmlns:c15="http://schemas.microsoft.com/office/drawing/2012/chart" uri="{CE6537A1-D6FC-4f65-9D91-7224C49458BB}"/>
              </c:extLst>
            </c:dLbl>
            <c:dLbl>
              <c:idx val="15"/>
              <c:layout>
                <c:manualLayout>
                  <c:x val="-4.217366579177613E-2"/>
                  <c:y val="4.864574219889172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CD42-483E-82ED-90EF2F1E2FF6}"/>
                </c:ext>
                <c:ext xmlns:c15="http://schemas.microsoft.com/office/drawing/2012/chart" uri="{CE6537A1-D6FC-4f65-9D91-7224C49458BB}"/>
              </c:extLst>
            </c:dLbl>
            <c:dLbl>
              <c:idx val="17"/>
              <c:layout>
                <c:manualLayout>
                  <c:x val="-3.6618110236220573E-2"/>
                  <c:y val="4.401611256926217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CD42-483E-82ED-90EF2F1E2FF6}"/>
                </c:ext>
                <c:ext xmlns:c15="http://schemas.microsoft.com/office/drawing/2012/chart" uri="{CE6537A1-D6FC-4f65-9D91-7224C49458BB}"/>
              </c:extLst>
            </c:dLbl>
            <c:dLbl>
              <c:idx val="20"/>
              <c:layout>
                <c:manualLayout>
                  <c:x val="-1.327777777777788E-2"/>
                  <c:y val="-6.709499854184902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CD42-483E-82ED-90EF2F1E2FF6}"/>
                </c:ext>
                <c:ext xmlns:c15="http://schemas.microsoft.com/office/drawing/2012/chart" uri="{CE6537A1-D6FC-4f65-9D91-7224C49458BB}"/>
              </c:extLst>
            </c:dLbl>
            <c:dLbl>
              <c:idx val="21"/>
              <c:layout>
                <c:manualLayout>
                  <c:x val="-3.9395888013998147E-2"/>
                  <c:y val="5.327537182852135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CD42-483E-82ED-90EF2F1E2FF6}"/>
                </c:ext>
                <c:ext xmlns:c15="http://schemas.microsoft.com/office/drawing/2012/chart" uri="{CE6537A1-D6FC-4f65-9D91-7224C49458BB}"/>
              </c:extLst>
            </c:dLbl>
            <c:dLbl>
              <c:idx val="25"/>
              <c:layout>
                <c:manualLayout>
                  <c:x val="1.2074393279636468E-2"/>
                  <c:y val="8.7740354041646804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CD42-483E-82ED-90EF2F1E2FF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Sheet1!$C$79:$AL$79</c:f>
              <c:strCache>
                <c:ptCount val="36"/>
                <c:pt idx="0">
                  <c:v>2016-01</c:v>
                </c:pt>
                <c:pt idx="1">
                  <c:v>2016-02</c:v>
                </c:pt>
                <c:pt idx="2">
                  <c:v>2016-03</c:v>
                </c:pt>
                <c:pt idx="3">
                  <c:v>2016-04</c:v>
                </c:pt>
                <c:pt idx="4">
                  <c:v>2016-05</c:v>
                </c:pt>
                <c:pt idx="5">
                  <c:v>2016-06</c:v>
                </c:pt>
                <c:pt idx="6">
                  <c:v>2016-07</c:v>
                </c:pt>
                <c:pt idx="7">
                  <c:v>2016-08</c:v>
                </c:pt>
                <c:pt idx="8">
                  <c:v>2016-09</c:v>
                </c:pt>
                <c:pt idx="9">
                  <c:v>2016-10</c:v>
                </c:pt>
                <c:pt idx="10">
                  <c:v>2016-11</c:v>
                </c:pt>
                <c:pt idx="11">
                  <c:v>2016-12</c:v>
                </c:pt>
                <c:pt idx="12">
                  <c:v>2017-01</c:v>
                </c:pt>
                <c:pt idx="13">
                  <c:v>2017-02</c:v>
                </c:pt>
                <c:pt idx="14">
                  <c:v>2017-03</c:v>
                </c:pt>
                <c:pt idx="15">
                  <c:v>2017-04</c:v>
                </c:pt>
                <c:pt idx="16">
                  <c:v>2017-05</c:v>
                </c:pt>
                <c:pt idx="17">
                  <c:v>2017-06</c:v>
                </c:pt>
                <c:pt idx="18">
                  <c:v>2017-07</c:v>
                </c:pt>
                <c:pt idx="19">
                  <c:v>2017-08</c:v>
                </c:pt>
                <c:pt idx="20">
                  <c:v>2017-09</c:v>
                </c:pt>
                <c:pt idx="21">
                  <c:v>2017-10</c:v>
                </c:pt>
                <c:pt idx="22">
                  <c:v>2017-11</c:v>
                </c:pt>
                <c:pt idx="23">
                  <c:v>2017-12</c:v>
                </c:pt>
                <c:pt idx="24">
                  <c:v>2018-01</c:v>
                </c:pt>
                <c:pt idx="25">
                  <c:v>2018-02</c:v>
                </c:pt>
                <c:pt idx="26">
                  <c:v>2018-03</c:v>
                </c:pt>
                <c:pt idx="27">
                  <c:v>2018-04</c:v>
                </c:pt>
                <c:pt idx="28">
                  <c:v>2018-05</c:v>
                </c:pt>
                <c:pt idx="29">
                  <c:v>2018-06</c:v>
                </c:pt>
                <c:pt idx="30">
                  <c:v>2018-07</c:v>
                </c:pt>
                <c:pt idx="31">
                  <c:v>2018-08</c:v>
                </c:pt>
                <c:pt idx="32">
                  <c:v>2018-09</c:v>
                </c:pt>
                <c:pt idx="33">
                  <c:v>2018-10</c:v>
                </c:pt>
                <c:pt idx="34">
                  <c:v>2018-11</c:v>
                </c:pt>
                <c:pt idx="35">
                  <c:v>2018-12</c:v>
                </c:pt>
              </c:strCache>
            </c:strRef>
          </c:cat>
          <c:val>
            <c:numRef>
              <c:f>Sheet1!$C$93:$AL$93</c:f>
              <c:numCache>
                <c:formatCode>General</c:formatCode>
                <c:ptCount val="36"/>
                <c:pt idx="0">
                  <c:v>3.0999999999999943</c:v>
                </c:pt>
                <c:pt idx="1">
                  <c:v>7</c:v>
                </c:pt>
                <c:pt idx="2">
                  <c:v>18.599999999999994</c:v>
                </c:pt>
                <c:pt idx="3">
                  <c:v>20.599999999999994</c:v>
                </c:pt>
                <c:pt idx="4">
                  <c:v>32.300000000000011</c:v>
                </c:pt>
                <c:pt idx="5">
                  <c:v>18.599999999999994</c:v>
                </c:pt>
                <c:pt idx="6">
                  <c:v>9.2000000000000028</c:v>
                </c:pt>
                <c:pt idx="7">
                  <c:v>30.199999999999989</c:v>
                </c:pt>
                <c:pt idx="8">
                  <c:v>31.099999999999994</c:v>
                </c:pt>
                <c:pt idx="9">
                  <c:v>20.200000000000003</c:v>
                </c:pt>
                <c:pt idx="10">
                  <c:v>34.599999999999994</c:v>
                </c:pt>
                <c:pt idx="11">
                  <c:v>14.200000000000003</c:v>
                </c:pt>
                <c:pt idx="12">
                  <c:v>26.700000000000003</c:v>
                </c:pt>
                <c:pt idx="13">
                  <c:v>27.400000000000006</c:v>
                </c:pt>
                <c:pt idx="14">
                  <c:v>27.400000000000006</c:v>
                </c:pt>
                <c:pt idx="15">
                  <c:v>5.5999999999999943</c:v>
                </c:pt>
                <c:pt idx="16">
                  <c:v>23.900000000000006</c:v>
                </c:pt>
                <c:pt idx="17">
                  <c:v>5.7999999999999972</c:v>
                </c:pt>
                <c:pt idx="18">
                  <c:v>19.700000000000003</c:v>
                </c:pt>
                <c:pt idx="19">
                  <c:v>27.400000000000006</c:v>
                </c:pt>
                <c:pt idx="20">
                  <c:v>2</c:v>
                </c:pt>
                <c:pt idx="21">
                  <c:v>0.90000000000000568</c:v>
                </c:pt>
                <c:pt idx="22">
                  <c:v>1.5999999999999943</c:v>
                </c:pt>
                <c:pt idx="23">
                  <c:v>10.799999999999997</c:v>
                </c:pt>
                <c:pt idx="24">
                  <c:v>17.900000000000006</c:v>
                </c:pt>
                <c:pt idx="25">
                  <c:v>-8</c:v>
                </c:pt>
                <c:pt idx="26">
                  <c:v>-7.2000000000000028</c:v>
                </c:pt>
                <c:pt idx="27">
                  <c:v>21.799999999999997</c:v>
                </c:pt>
                <c:pt idx="28">
                  <c:v>10.7</c:v>
                </c:pt>
                <c:pt idx="29">
                  <c:v>17</c:v>
                </c:pt>
                <c:pt idx="30">
                  <c:v>9.8000000000000007</c:v>
                </c:pt>
                <c:pt idx="31">
                  <c:v>-1.8</c:v>
                </c:pt>
                <c:pt idx="32">
                  <c:v>6.5</c:v>
                </c:pt>
                <c:pt idx="33">
                  <c:v>16.399999999999999</c:v>
                </c:pt>
                <c:pt idx="34">
                  <c:v>6.2</c:v>
                </c:pt>
                <c:pt idx="35">
                  <c:v>-2.6</c:v>
                </c:pt>
              </c:numCache>
            </c:numRef>
          </c:val>
          <c:smooth val="1"/>
          <c:extLst xmlns:c16r2="http://schemas.microsoft.com/office/drawing/2015/06/chart">
            <c:ext xmlns:c16="http://schemas.microsoft.com/office/drawing/2014/chart" uri="{C3380CC4-5D6E-409C-BE32-E72D297353CC}">
              <c16:uniqueId val="{0000000D-CD42-483E-82ED-90EF2F1E2FF6}"/>
            </c:ext>
          </c:extLst>
        </c:ser>
        <c:dLbls>
          <c:showLegendKey val="0"/>
          <c:showVal val="0"/>
          <c:showCatName val="0"/>
          <c:showSerName val="0"/>
          <c:showPercent val="0"/>
          <c:showBubbleSize val="0"/>
        </c:dLbls>
        <c:smooth val="0"/>
        <c:axId val="665746792"/>
        <c:axId val="665756592"/>
      </c:lineChart>
      <c:catAx>
        <c:axId val="665746792"/>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low"/>
        <c:spPr>
          <a:noFill/>
          <a:ln w="15875" cap="flat" cmpd="sng" algn="ctr">
            <a:solidFill>
              <a:schemeClr val="tx1">
                <a:lumMod val="50000"/>
                <a:lumOff val="50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665756592"/>
        <c:crosses val="autoZero"/>
        <c:auto val="1"/>
        <c:lblAlgn val="ctr"/>
        <c:lblOffset val="100"/>
        <c:tickLblSkip val="1"/>
        <c:noMultiLvlLbl val="0"/>
      </c:catAx>
      <c:valAx>
        <c:axId val="665756592"/>
        <c:scaling>
          <c:orientation val="minMax"/>
          <c:min val="-1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665746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670432500285295E-2"/>
          <c:y val="7.9134238654950742E-2"/>
          <c:w val="0.90880000000000005"/>
          <c:h val="0.68097626262914868"/>
        </c:manualLayout>
      </c:layout>
      <c:barChart>
        <c:barDir val="col"/>
        <c:grouping val="clustered"/>
        <c:varyColors val="0"/>
        <c:ser>
          <c:idx val="0"/>
          <c:order val="0"/>
          <c:tx>
            <c:strRef>
              <c:f>Sheet1!$A$2:$A$2</c:f>
              <c:strCache>
                <c:ptCount val="1"/>
                <c:pt idx="0">
                  <c:v>export</c:v>
                </c:pt>
              </c:strCache>
            </c:strRef>
          </c:tx>
          <c:spPr>
            <a:solidFill>
              <a:schemeClr val="accent1">
                <a:tint val="65000"/>
              </a:schemeClr>
            </a:solidFill>
            <a:ln>
              <a:noFill/>
            </a:ln>
            <a:effectLst/>
          </c:spPr>
          <c:invertIfNegative val="0"/>
          <c:dLbls>
            <c:dLbl>
              <c:idx val="0"/>
              <c:layout>
                <c:manualLayout>
                  <c:x val="-1.058201583069833E-2"/>
                  <c:y val="-8.875454035737806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DA7-4178-8C7A-647740E07966}"/>
                </c:ext>
                <c:ext xmlns:c15="http://schemas.microsoft.com/office/drawing/2012/chart" uri="{CE6537A1-D6FC-4f65-9D91-7224C49458BB}"/>
              </c:extLst>
            </c:dLbl>
            <c:dLbl>
              <c:idx val="1"/>
              <c:layout>
                <c:manualLayout>
                  <c:x val="-1.2181949697232741E-2"/>
                  <c:y val="-9.155310694522300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DA7-4178-8C7A-647740E07966}"/>
                </c:ext>
                <c:ext xmlns:c15="http://schemas.microsoft.com/office/drawing/2012/chart" uri="{CE6537A1-D6FC-4f65-9D91-7224C49458BB}"/>
              </c:extLst>
            </c:dLbl>
            <c:dLbl>
              <c:idx val="2"/>
              <c:layout>
                <c:manualLayout>
                  <c:x val="-1.0581883563767103E-2"/>
                  <c:y val="-9.309053086630436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DA7-4178-8C7A-647740E07966}"/>
                </c:ext>
                <c:ext xmlns:c15="http://schemas.microsoft.com/office/drawing/2012/chart" uri="{CE6537A1-D6FC-4f65-9D91-7224C49458BB}"/>
              </c:extLst>
            </c:dLbl>
            <c:dLbl>
              <c:idx val="3"/>
              <c:layout>
                <c:manualLayout>
                  <c:x val="-1.3781982763965528E-2"/>
                  <c:y val="-8.0235326621324599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DA7-4178-8C7A-647740E07966}"/>
                </c:ext>
                <c:ext xmlns:c15="http://schemas.microsoft.com/office/drawing/2012/chart" uri="{CE6537A1-D6FC-4f65-9D91-7224C49458BB}"/>
              </c:extLst>
            </c:dLbl>
            <c:dLbl>
              <c:idx val="4"/>
              <c:layout>
                <c:manualLayout>
                  <c:x val="-1.0581916630499899E-2"/>
                  <c:y val="-9.0392725677096442E-4"/>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DA7-4178-8C7A-647740E07966}"/>
                </c:ext>
                <c:ext xmlns:c15="http://schemas.microsoft.com/office/drawing/2012/chart" uri="{CE6537A1-D6FC-4f65-9D91-7224C49458BB}"/>
              </c:extLst>
            </c:dLbl>
            <c:dLbl>
              <c:idx val="5"/>
              <c:layout>
                <c:manualLayout>
                  <c:x val="-8.9818504970343715E-3"/>
                  <c:y val="-3.3608801995725912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DA7-4178-8C7A-647740E07966}"/>
                </c:ext>
                <c:ext xmlns:c15="http://schemas.microsoft.com/office/drawing/2012/chart" uri="{CE6537A1-D6FC-4f65-9D91-7224C49458BB}"/>
              </c:extLst>
            </c:dLbl>
            <c:dLbl>
              <c:idx val="6"/>
              <c:layout>
                <c:manualLayout>
                  <c:x val="-1.0581949697232695E-2"/>
                  <c:y val="-1.540381755686115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DA7-4178-8C7A-647740E07966}"/>
                </c:ext>
                <c:ext xmlns:c15="http://schemas.microsoft.com/office/drawing/2012/chart" uri="{CE6537A1-D6FC-4f65-9D91-7224C49458BB}"/>
              </c:extLst>
            </c:dLbl>
            <c:dLbl>
              <c:idx val="7"/>
              <c:layout>
                <c:manualLayout>
                  <c:x val="-1.3781883563767083E-2"/>
                  <c:y val="-7.6383640899380101E-4"/>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DA7-4178-8C7A-647740E07966}"/>
                </c:ext>
                <c:ext xmlns:c15="http://schemas.microsoft.com/office/drawing/2012/chart" uri="{CE6537A1-D6FC-4f65-9D91-7224C49458BB}"/>
              </c:extLst>
            </c:dLbl>
            <c:dLbl>
              <c:idx val="8"/>
              <c:layout>
                <c:manualLayout>
                  <c:x val="-1.6704977095254397E-2"/>
                  <c:y val="8.3951462588915515E-4"/>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DA7-4178-8C7A-647740E07966}"/>
                </c:ext>
                <c:ext xmlns:c15="http://schemas.microsoft.com/office/drawing/2012/chart" uri="{CE6537A1-D6FC-4f65-9D91-7224C49458BB}"/>
              </c:extLst>
            </c:dLbl>
            <c:dLbl>
              <c:idx val="9"/>
              <c:layout>
                <c:manualLayout>
                  <c:x val="-6.2111801242236021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DA7-4178-8C7A-647740E07966}"/>
                </c:ext>
                <c:ext xmlns:c15="http://schemas.microsoft.com/office/drawing/2012/chart" uri="{CE6537A1-D6FC-4f65-9D91-7224C49458BB}"/>
              </c:extLst>
            </c:dLbl>
            <c:dLbl>
              <c:idx val="10"/>
              <c:layout>
                <c:manualLayout>
                  <c:x val="-8.2815734989648039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EDA7-4178-8C7A-647740E07966}"/>
                </c:ext>
                <c:ext xmlns:c15="http://schemas.microsoft.com/office/drawing/2012/chart" uri="{CE6537A1-D6FC-4f65-9D91-7224C49458BB}"/>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Sheet1!$B$2:$K$2</c:f>
              <c:numCache>
                <c:formatCode>0.0</c:formatCode>
                <c:ptCount val="10"/>
                <c:pt idx="0">
                  <c:v>1283</c:v>
                </c:pt>
                <c:pt idx="1">
                  <c:v>1541.5</c:v>
                </c:pt>
                <c:pt idx="2">
                  <c:v>2216.8000000000002</c:v>
                </c:pt>
                <c:pt idx="3">
                  <c:v>2161.9</c:v>
                </c:pt>
                <c:pt idx="4">
                  <c:v>2428.3000000000002</c:v>
                </c:pt>
                <c:pt idx="5">
                  <c:v>2339.5</c:v>
                </c:pt>
                <c:pt idx="6">
                  <c:v>1966.8</c:v>
                </c:pt>
                <c:pt idx="7">
                  <c:v>2044.6</c:v>
                </c:pt>
                <c:pt idx="8">
                  <c:v>2425.1</c:v>
                </c:pt>
                <c:pt idx="9">
                  <c:v>2706.9</c:v>
                </c:pt>
              </c:numCache>
            </c:numRef>
          </c:val>
          <c:extLst xmlns:c16r2="http://schemas.microsoft.com/office/drawing/2015/06/chart">
            <c:ext xmlns:c16="http://schemas.microsoft.com/office/drawing/2014/chart" uri="{C3380CC4-5D6E-409C-BE32-E72D297353CC}">
              <c16:uniqueId val="{0000000B-EDA7-4178-8C7A-647740E07966}"/>
            </c:ext>
          </c:extLst>
        </c:ser>
        <c:ser>
          <c:idx val="1"/>
          <c:order val="2"/>
          <c:tx>
            <c:strRef>
              <c:f>Sheet1!$A$4:$A$4</c:f>
              <c:strCache>
                <c:ptCount val="1"/>
                <c:pt idx="0">
                  <c:v>import</c:v>
                </c:pt>
              </c:strCache>
            </c:strRef>
          </c:tx>
          <c:spPr>
            <a:solidFill>
              <a:schemeClr val="accent1"/>
            </a:solidFill>
            <a:ln>
              <a:noFill/>
            </a:ln>
            <a:effectLst/>
          </c:spPr>
          <c:invertIfNegative val="0"/>
          <c:dLbls>
            <c:dLbl>
              <c:idx val="0"/>
              <c:layout>
                <c:manualLayout>
                  <c:x val="0"/>
                  <c:y val="9.301298759085198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86F-49F3-8A16-022288A1B9D3}"/>
                </c:ext>
                <c:ext xmlns:c15="http://schemas.microsoft.com/office/drawing/2012/chart" uri="{CE6537A1-D6FC-4f65-9D91-7224C49458BB}"/>
              </c:extLst>
            </c:dLbl>
            <c:dLbl>
              <c:idx val="1"/>
              <c:layout>
                <c:manualLayout>
                  <c:x val="0"/>
                  <c:y val="8.2621545812533049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86F-49F3-8A16-022288A1B9D3}"/>
                </c:ext>
                <c:ext xmlns:c15="http://schemas.microsoft.com/office/drawing/2012/chart" uri="{CE6537A1-D6FC-4f65-9D91-7224C49458BB}"/>
              </c:extLst>
            </c:dLbl>
            <c:dLbl>
              <c:idx val="2"/>
              <c:layout>
                <c:manualLayout>
                  <c:x val="2.070393374741201E-3"/>
                  <c:y val="1.224451377396556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86F-49F3-8A16-022288A1B9D3}"/>
                </c:ext>
                <c:ext xmlns:c15="http://schemas.microsoft.com/office/drawing/2012/chart" uri="{CE6537A1-D6FC-4f65-9D91-7224C49458BB}"/>
              </c:extLst>
            </c:dLbl>
            <c:dLbl>
              <c:idx val="3"/>
              <c:layout>
                <c:manualLayout>
                  <c:x val="0"/>
                  <c:y val="9.64870697400595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86F-49F3-8A16-022288A1B9D3}"/>
                </c:ext>
                <c:ext xmlns:c15="http://schemas.microsoft.com/office/drawing/2012/chart" uri="{CE6537A1-D6FC-4f65-9D91-7224C49458BB}"/>
              </c:extLst>
            </c:dLbl>
            <c:dLbl>
              <c:idx val="4"/>
              <c:layout>
                <c:manualLayout>
                  <c:x val="2.8467093787189644E-3"/>
                  <c:y val="1.610023154843089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86F-49F3-8A16-022288A1B9D3}"/>
                </c:ext>
                <c:ext xmlns:c15="http://schemas.microsoft.com/office/drawing/2012/chart" uri="{CE6537A1-D6FC-4f65-9D91-7224C49458BB}"/>
              </c:extLst>
            </c:dLbl>
            <c:dLbl>
              <c:idx val="5"/>
              <c:layout>
                <c:manualLayout>
                  <c:x val="2.8468724018193376E-3"/>
                  <c:y val="5.047173928296997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86F-49F3-8A16-022288A1B9D3}"/>
                </c:ext>
                <c:ext xmlns:c15="http://schemas.microsoft.com/office/drawing/2012/chart" uri="{CE6537A1-D6FC-4f65-9D91-7224C49458BB}"/>
              </c:extLst>
            </c:dLbl>
            <c:dLbl>
              <c:idx val="6"/>
              <c:layout>
                <c:manualLayout>
                  <c:x val="-2.0703933747412769E-3"/>
                  <c:y val="1.45757426920200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B86F-49F3-8A16-022288A1B9D3}"/>
                </c:ext>
                <c:ext xmlns:c15="http://schemas.microsoft.com/office/drawing/2012/chart" uri="{CE6537A1-D6FC-4f65-9D91-7224C49458BB}"/>
              </c:extLst>
            </c:dLbl>
            <c:dLbl>
              <c:idx val="7"/>
              <c:layout>
                <c:manualLayout>
                  <c:x val="0"/>
                  <c:y val="1.729956000664007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86F-49F3-8A16-022288A1B9D3}"/>
                </c:ext>
                <c:ext xmlns:c15="http://schemas.microsoft.com/office/drawing/2012/chart" uri="{CE6537A1-D6FC-4f65-9D91-7224C49458BB}"/>
              </c:extLst>
            </c:dLbl>
            <c:dLbl>
              <c:idx val="8"/>
              <c:layout>
                <c:manualLayout>
                  <c:x val="-1.5182709356148066E-16"/>
                  <c:y val="9.149329057188869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86F-49F3-8A16-022288A1B9D3}"/>
                </c:ext>
                <c:ext xmlns:c15="http://schemas.microsoft.com/office/drawing/2012/chart" uri="{CE6537A1-D6FC-4f65-9D91-7224C49458BB}"/>
              </c:extLst>
            </c:dLbl>
            <c:dLbl>
              <c:idx val="9"/>
              <c:layout>
                <c:manualLayout>
                  <c:x val="1.9776332306287803E-3"/>
                  <c:y val="1.610023154843092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B86F-49F3-8A16-022288A1B9D3}"/>
                </c:ex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Sheet1!$B$4:$K$4</c:f>
              <c:numCache>
                <c:formatCode>0.0</c:formatCode>
                <c:ptCount val="10"/>
                <c:pt idx="0">
                  <c:v>3278.3</c:v>
                </c:pt>
                <c:pt idx="1">
                  <c:v>3855.3</c:v>
                </c:pt>
                <c:pt idx="2">
                  <c:v>5191.3</c:v>
                </c:pt>
                <c:pt idx="3">
                  <c:v>5212.8999999999996</c:v>
                </c:pt>
                <c:pt idx="4">
                  <c:v>5492.4</c:v>
                </c:pt>
                <c:pt idx="5">
                  <c:v>5317</c:v>
                </c:pt>
                <c:pt idx="6">
                  <c:v>3986.8</c:v>
                </c:pt>
                <c:pt idx="7">
                  <c:v>4020.4</c:v>
                </c:pt>
                <c:pt idx="8">
                  <c:v>4831.3999999999996</c:v>
                </c:pt>
                <c:pt idx="9">
                  <c:v>5764.2</c:v>
                </c:pt>
              </c:numCache>
            </c:numRef>
          </c:val>
          <c:extLst xmlns:c16r2="http://schemas.microsoft.com/office/drawing/2015/06/chart">
            <c:ext xmlns:c16="http://schemas.microsoft.com/office/drawing/2014/chart" uri="{C3380CC4-5D6E-409C-BE32-E72D297353CC}">
              <c16:uniqueId val="{00000011-EDA7-4178-8C7A-647740E07966}"/>
            </c:ext>
          </c:extLst>
        </c:ser>
        <c:dLbls>
          <c:showLegendKey val="0"/>
          <c:showVal val="0"/>
          <c:showCatName val="0"/>
          <c:showSerName val="0"/>
          <c:showPercent val="0"/>
          <c:showBubbleSize val="0"/>
        </c:dLbls>
        <c:gapWidth val="150"/>
        <c:overlap val="-20"/>
        <c:axId val="665767960"/>
        <c:axId val="665755416"/>
      </c:barChart>
      <c:lineChart>
        <c:grouping val="standard"/>
        <c:varyColors val="0"/>
        <c:ser>
          <c:idx val="2"/>
          <c:order val="1"/>
          <c:tx>
            <c:strRef>
              <c:f>Sheet1!$A$3:$A$3</c:f>
              <c:strCache>
                <c:ptCount val="1"/>
                <c:pt idx="0">
                  <c:v>soldul balanţei comerciale</c:v>
                </c:pt>
              </c:strCache>
            </c:strRef>
          </c:tx>
          <c:spPr>
            <a:ln w="19050" cap="rnd" cmpd="sng" algn="ctr">
              <a:solidFill>
                <a:schemeClr val="accent1">
                  <a:shade val="65000"/>
                </a:schemeClr>
              </a:solidFill>
              <a:prstDash val="solid"/>
              <a:round/>
            </a:ln>
            <a:effectLst/>
          </c:spPr>
          <c:marker>
            <c:spPr>
              <a:solidFill>
                <a:schemeClr val="accent1">
                  <a:shade val="65000"/>
                </a:schemeClr>
              </a:solidFill>
              <a:ln w="6350" cap="flat" cmpd="sng" algn="ctr">
                <a:solidFill>
                  <a:schemeClr val="accent1">
                    <a:shade val="65000"/>
                  </a:schemeClr>
                </a:solidFill>
                <a:prstDash val="solid"/>
                <a:round/>
              </a:ln>
              <a:effectLst/>
            </c:spPr>
          </c:marker>
          <c:dLbls>
            <c:dLbl>
              <c:idx val="0"/>
              <c:layout>
                <c:manualLayout>
                  <c:x val="-5.5817153290621278E-2"/>
                  <c:y val="-4.139716231123292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EDA7-4178-8C7A-647740E07966}"/>
                </c:ext>
                <c:ext xmlns:c15="http://schemas.microsoft.com/office/drawing/2012/chart" uri="{CE6537A1-D6FC-4f65-9D91-7224C49458BB}"/>
              </c:extLst>
            </c:dLbl>
            <c:dLbl>
              <c:idx val="1"/>
              <c:layout>
                <c:manualLayout>
                  <c:x val="-4.5183482499470191E-2"/>
                  <c:y val="-4.328160066948152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EDA7-4178-8C7A-647740E07966}"/>
                </c:ext>
                <c:ext xmlns:c15="http://schemas.microsoft.com/office/drawing/2012/chart" uri="{CE6537A1-D6FC-4f65-9D91-7224C49458BB}"/>
              </c:extLst>
            </c:dLbl>
            <c:dLbl>
              <c:idx val="2"/>
              <c:layout>
                <c:manualLayout>
                  <c:x val="-3.4076229601734606E-2"/>
                  <c:y val="-4.53889459469740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EDA7-4178-8C7A-647740E07966}"/>
                </c:ext>
                <c:ext xmlns:c15="http://schemas.microsoft.com/office/drawing/2012/chart" uri="{CE6537A1-D6FC-4f65-9D91-7224C49458BB}"/>
              </c:extLst>
            </c:dLbl>
            <c:dLbl>
              <c:idx val="3"/>
              <c:layout>
                <c:manualLayout>
                  <c:x val="-3.2287377121338091E-2"/>
                  <c:y val="-4.421697287839020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EDA7-4178-8C7A-647740E07966}"/>
                </c:ext>
                <c:ext xmlns:c15="http://schemas.microsoft.com/office/drawing/2012/chart" uri="{CE6537A1-D6FC-4f65-9D91-7224C49458BB}"/>
              </c:extLst>
            </c:dLbl>
            <c:dLbl>
              <c:idx val="4"/>
              <c:layout>
                <c:manualLayout>
                  <c:x val="-3.8687337995794005E-2"/>
                  <c:y val="-4.661493400281495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EDA7-4178-8C7A-647740E07966}"/>
                </c:ext>
                <c:ext xmlns:c15="http://schemas.microsoft.com/office/drawing/2012/chart" uri="{CE6537A1-D6FC-4f65-9D91-7224C49458BB}"/>
              </c:extLst>
            </c:dLbl>
            <c:dLbl>
              <c:idx val="5"/>
              <c:layout>
                <c:manualLayout>
                  <c:x val="-3.4921015307869202E-2"/>
                  <c:y val="-4.618395526646125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EDA7-4178-8C7A-647740E07966}"/>
                </c:ext>
                <c:ext xmlns:c15="http://schemas.microsoft.com/office/drawing/2012/chart" uri="{CE6537A1-D6FC-4f65-9D91-7224C49458BB}"/>
              </c:extLst>
            </c:dLbl>
            <c:dLbl>
              <c:idx val="6"/>
              <c:layout>
                <c:manualLayout>
                  <c:x val="-2.7298544203713665E-2"/>
                  <c:y val="-4.485488227015110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EDA7-4178-8C7A-647740E07966}"/>
                </c:ext>
                <c:ext xmlns:c15="http://schemas.microsoft.com/office/drawing/2012/chart" uri="{CE6537A1-D6FC-4f65-9D91-7224C49458BB}"/>
              </c:extLst>
            </c:dLbl>
            <c:dLbl>
              <c:idx val="7"/>
              <c:layout>
                <c:manualLayout>
                  <c:x val="-3.9043380447009342E-2"/>
                  <c:y val="-4.369926585263798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EDA7-4178-8C7A-647740E07966}"/>
                </c:ext>
                <c:ext xmlns:c15="http://schemas.microsoft.com/office/drawing/2012/chart" uri="{CE6537A1-D6FC-4f65-9D91-7224C49458BB}"/>
              </c:extLst>
            </c:dLbl>
            <c:dLbl>
              <c:idx val="8"/>
              <c:layout>
                <c:manualLayout>
                  <c:x val="-3.1264896235796612E-2"/>
                  <c:y val="-3.781885959907185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EDA7-4178-8C7A-647740E07966}"/>
                </c:ext>
                <c:ext xmlns:c15="http://schemas.microsoft.com/office/drawing/2012/chart" uri="{CE6537A1-D6FC-4f65-9D91-7224C49458BB}"/>
              </c:extLst>
            </c:dLbl>
            <c:dLbl>
              <c:idx val="9"/>
              <c:layout>
                <c:manualLayout>
                  <c:x val="-2.0703933747412008E-2"/>
                  <c:y val="-4.34782608695652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EDA7-4178-8C7A-647740E07966}"/>
                </c:ext>
                <c:ext xmlns:c15="http://schemas.microsoft.com/office/drawing/2012/chart" uri="{CE6537A1-D6FC-4f65-9D91-7224C49458BB}"/>
              </c:extLst>
            </c:dLbl>
            <c:dLbl>
              <c:idx val="10"/>
              <c:layout>
                <c:manualLayout>
                  <c:x val="-2.070393374741201E-3"/>
                  <c:y val="-3.86473429951691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EDA7-4178-8C7A-647740E07966}"/>
                </c:ext>
                <c:ext xmlns:c15="http://schemas.microsoft.com/office/drawing/2012/chart" uri="{CE6537A1-D6FC-4f65-9D91-7224C49458BB}"/>
              </c:extLst>
            </c:dLbl>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Sheet1!$B$1:$K$1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Sheet1!$B$3:$K$3</c:f>
              <c:numCache>
                <c:formatCode>0.0</c:formatCode>
                <c:ptCount val="10"/>
                <c:pt idx="0">
                  <c:v>-1995.3</c:v>
                </c:pt>
                <c:pt idx="1">
                  <c:v>-2313.8000000000002</c:v>
                </c:pt>
                <c:pt idx="2">
                  <c:v>-2974.5</c:v>
                </c:pt>
                <c:pt idx="3">
                  <c:v>-3051</c:v>
                </c:pt>
                <c:pt idx="4">
                  <c:v>-3064.1</c:v>
                </c:pt>
                <c:pt idx="5">
                  <c:v>-2977.4</c:v>
                </c:pt>
                <c:pt idx="6">
                  <c:v>-2020</c:v>
                </c:pt>
                <c:pt idx="7">
                  <c:v>-1975.7</c:v>
                </c:pt>
                <c:pt idx="8">
                  <c:v>-2406.3000000000002</c:v>
                </c:pt>
                <c:pt idx="9">
                  <c:v>-3057.3</c:v>
                </c:pt>
              </c:numCache>
            </c:numRef>
          </c:val>
          <c:smooth val="0"/>
          <c:extLst xmlns:c16r2="http://schemas.microsoft.com/office/drawing/2015/06/chart">
            <c:ext xmlns:c16="http://schemas.microsoft.com/office/drawing/2014/chart" uri="{C3380CC4-5D6E-409C-BE32-E72D297353CC}">
              <c16:uniqueId val="{0000001D-EDA7-4178-8C7A-647740E07966}"/>
            </c:ext>
          </c:extLst>
        </c:ser>
        <c:dLbls>
          <c:showLegendKey val="0"/>
          <c:showVal val="0"/>
          <c:showCatName val="0"/>
          <c:showSerName val="0"/>
          <c:showPercent val="0"/>
          <c:showBubbleSize val="0"/>
        </c:dLbls>
        <c:marker val="1"/>
        <c:smooth val="0"/>
        <c:axId val="665767960"/>
        <c:axId val="665755416"/>
      </c:lineChart>
      <c:catAx>
        <c:axId val="665767960"/>
        <c:scaling>
          <c:orientation val="minMax"/>
        </c:scaling>
        <c:delete val="0"/>
        <c:axPos val="b"/>
        <c:numFmt formatCode="General" sourceLinked="1"/>
        <c:majorTickMark val="none"/>
        <c:minorTickMark val="none"/>
        <c:tickLblPos val="low"/>
        <c:spPr>
          <a:noFill/>
          <a:ln w="6350" cap="flat" cmpd="sng" algn="ctr">
            <a:solidFill>
              <a:schemeClr val="tx1">
                <a:tint val="75000"/>
              </a:schemeClr>
            </a:solidFill>
            <a:prstDash val="solid"/>
            <a:round/>
          </a:ln>
          <a:effectLst/>
        </c:spPr>
        <c:txPr>
          <a:bodyPr rot="0" spcFirstLastPara="1" vertOverflow="ellipsis"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65755416"/>
        <c:crosses val="autoZero"/>
        <c:auto val="1"/>
        <c:lblAlgn val="ctr"/>
        <c:lblOffset val="100"/>
        <c:tickLblSkip val="1"/>
        <c:tickMarkSkip val="1"/>
        <c:noMultiLvlLbl val="0"/>
      </c:catAx>
      <c:valAx>
        <c:axId val="665755416"/>
        <c:scaling>
          <c:orientation val="minMax"/>
          <c:max val="5300"/>
          <c:min val="-3100"/>
        </c:scaling>
        <c:delete val="0"/>
        <c:axPos val="l"/>
        <c:minorGridlines>
          <c:spPr>
            <a:ln w="6350" cap="flat" cmpd="sng" algn="ctr">
              <a:noFill/>
              <a:prstDash val="solid"/>
              <a:round/>
            </a:ln>
            <a:effectLst/>
          </c:spPr>
        </c:minorGridlines>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0" spcFirstLastPara="1" vertOverflow="ellipsis" wrap="square" anchor="ctr" anchorCtr="1"/>
          <a:lstStyle/>
          <a:p>
            <a:pPr>
              <a:defRPr sz="1000" b="0" i="0" u="none" strike="noStrike" kern="1200" baseline="0">
                <a:solidFill>
                  <a:schemeClr val="tx1"/>
                </a:solidFill>
                <a:latin typeface="+mn-lt"/>
                <a:ea typeface="+mn-ea"/>
                <a:cs typeface="+mn-cs"/>
              </a:defRPr>
            </a:pPr>
            <a:endParaRPr lang="en-US"/>
          </a:p>
        </c:txPr>
        <c:crossAx val="665767960"/>
        <c:crosses val="autoZero"/>
        <c:crossBetween val="between"/>
        <c:majorUnit val="1000"/>
      </c:valAx>
      <c:spPr>
        <a:solidFill>
          <a:schemeClr val="bg1"/>
        </a:solidFill>
        <a:ln>
          <a:noFill/>
        </a:ln>
        <a:effectLst/>
      </c:spPr>
    </c:plotArea>
    <c:legend>
      <c:legendPos val="b"/>
      <c:layout>
        <c:manualLayout>
          <c:xMode val="edge"/>
          <c:yMode val="edge"/>
          <c:x val="0.1839963482825516"/>
          <c:y val="0.86915135608048999"/>
          <c:w val="0.61279994741265575"/>
          <c:h val="8.6449131228116372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Lei/USD</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Sheet1!$A$2:$A$28</c:f>
              <c:strCache>
                <c:ptCount val="27"/>
                <c:pt idx="0">
                  <c:v>01.01.2018</c:v>
                </c:pt>
                <c:pt idx="1">
                  <c:v>15.01.2018</c:v>
                </c:pt>
                <c:pt idx="2">
                  <c:v>01.02.2018</c:v>
                </c:pt>
                <c:pt idx="3">
                  <c:v>15.02.2018</c:v>
                </c:pt>
                <c:pt idx="4">
                  <c:v>01.03.2018</c:v>
                </c:pt>
                <c:pt idx="5">
                  <c:v>15.03.2018</c:v>
                </c:pt>
                <c:pt idx="6">
                  <c:v>01.04.2018</c:v>
                </c:pt>
                <c:pt idx="7">
                  <c:v>15.04.2018</c:v>
                </c:pt>
                <c:pt idx="8">
                  <c:v>01.05.2018</c:v>
                </c:pt>
                <c:pt idx="9">
                  <c:v>15.05.2018</c:v>
                </c:pt>
                <c:pt idx="10">
                  <c:v>01.06.2018</c:v>
                </c:pt>
                <c:pt idx="11">
                  <c:v>15.06.2018</c:v>
                </c:pt>
                <c:pt idx="12">
                  <c:v>01.07.2018</c:v>
                </c:pt>
                <c:pt idx="13">
                  <c:v>15.07.2018</c:v>
                </c:pt>
                <c:pt idx="14">
                  <c:v>01.08.2018</c:v>
                </c:pt>
                <c:pt idx="15">
                  <c:v>15.08.2018</c:v>
                </c:pt>
                <c:pt idx="16">
                  <c:v>01.09.2018</c:v>
                </c:pt>
                <c:pt idx="17">
                  <c:v>15.09.2018</c:v>
                </c:pt>
                <c:pt idx="18">
                  <c:v>01.10.2018</c:v>
                </c:pt>
                <c:pt idx="19">
                  <c:v>15.10.2018</c:v>
                </c:pt>
                <c:pt idx="20">
                  <c:v>01.11.2018</c:v>
                </c:pt>
                <c:pt idx="21">
                  <c:v>15.11.2018</c:v>
                </c:pt>
                <c:pt idx="22">
                  <c:v>01.12.2018</c:v>
                </c:pt>
                <c:pt idx="23">
                  <c:v>15.12.2018</c:v>
                </c:pt>
                <c:pt idx="24">
                  <c:v>01.01.2019</c:v>
                </c:pt>
                <c:pt idx="25">
                  <c:v>15.01.2019</c:v>
                </c:pt>
                <c:pt idx="26">
                  <c:v>01.02.2019</c:v>
                </c:pt>
              </c:strCache>
            </c:strRef>
          </c:cat>
          <c:val>
            <c:numRef>
              <c:f>Sheet1!$B$2:$B$28</c:f>
              <c:numCache>
                <c:formatCode>0.00</c:formatCode>
                <c:ptCount val="27"/>
                <c:pt idx="0">
                  <c:v>17.100200000000001</c:v>
                </c:pt>
                <c:pt idx="1">
                  <c:v>17.043600000000001</c:v>
                </c:pt>
                <c:pt idx="2">
                  <c:v>16.706199999999999</c:v>
                </c:pt>
                <c:pt idx="3">
                  <c:v>16.761800000000001</c:v>
                </c:pt>
                <c:pt idx="4">
                  <c:v>16.686499999999999</c:v>
                </c:pt>
                <c:pt idx="5">
                  <c:v>16.5533</c:v>
                </c:pt>
                <c:pt idx="6">
                  <c:v>16.4681</c:v>
                </c:pt>
                <c:pt idx="7">
                  <c:v>16.3935</c:v>
                </c:pt>
                <c:pt idx="8">
                  <c:v>16.526599999999998</c:v>
                </c:pt>
                <c:pt idx="9">
                  <c:v>16.552199999999999</c:v>
                </c:pt>
                <c:pt idx="10">
                  <c:v>16.953800000000001</c:v>
                </c:pt>
                <c:pt idx="11">
                  <c:v>16.751200000000001</c:v>
                </c:pt>
                <c:pt idx="12">
                  <c:v>16.843</c:v>
                </c:pt>
                <c:pt idx="13">
                  <c:v>16.6633</c:v>
                </c:pt>
                <c:pt idx="14">
                  <c:v>16.567299999999999</c:v>
                </c:pt>
                <c:pt idx="15">
                  <c:v>16.5932</c:v>
                </c:pt>
                <c:pt idx="16">
                  <c:v>16.709900000000001</c:v>
                </c:pt>
                <c:pt idx="17">
                  <c:v>16.7898</c:v>
                </c:pt>
                <c:pt idx="18">
                  <c:v>16.894100000000002</c:v>
                </c:pt>
                <c:pt idx="19">
                  <c:v>16.999400000000001</c:v>
                </c:pt>
                <c:pt idx="20">
                  <c:v>17.1264</c:v>
                </c:pt>
                <c:pt idx="21">
                  <c:v>17.057099999999998</c:v>
                </c:pt>
                <c:pt idx="22">
                  <c:v>17.233599999999999</c:v>
                </c:pt>
                <c:pt idx="23">
                  <c:v>17.2668</c:v>
                </c:pt>
                <c:pt idx="24">
                  <c:v>17.142700000000001</c:v>
                </c:pt>
                <c:pt idx="25">
                  <c:v>17.127800000000001</c:v>
                </c:pt>
                <c:pt idx="26">
                  <c:v>17.085100000000001</c:v>
                </c:pt>
              </c:numCache>
            </c:numRef>
          </c:val>
          <c:smooth val="0"/>
          <c:extLst xmlns:c16r2="http://schemas.microsoft.com/office/drawing/2015/06/chart">
            <c:ext xmlns:c16="http://schemas.microsoft.com/office/drawing/2014/chart" uri="{C3380CC4-5D6E-409C-BE32-E72D297353CC}">
              <c16:uniqueId val="{00000000-3A39-44E8-9FD4-EA9FF4BFCD41}"/>
            </c:ext>
          </c:extLst>
        </c:ser>
        <c:ser>
          <c:idx val="1"/>
          <c:order val="1"/>
          <c:tx>
            <c:strRef>
              <c:f>Sheet1!$C$1</c:f>
              <c:strCache>
                <c:ptCount val="1"/>
                <c:pt idx="0">
                  <c:v>Lei/EUR</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Sheet1!$A$2:$A$28</c:f>
              <c:strCache>
                <c:ptCount val="27"/>
                <c:pt idx="0">
                  <c:v>01.01.2018</c:v>
                </c:pt>
                <c:pt idx="1">
                  <c:v>15.01.2018</c:v>
                </c:pt>
                <c:pt idx="2">
                  <c:v>01.02.2018</c:v>
                </c:pt>
                <c:pt idx="3">
                  <c:v>15.02.2018</c:v>
                </c:pt>
                <c:pt idx="4">
                  <c:v>01.03.2018</c:v>
                </c:pt>
                <c:pt idx="5">
                  <c:v>15.03.2018</c:v>
                </c:pt>
                <c:pt idx="6">
                  <c:v>01.04.2018</c:v>
                </c:pt>
                <c:pt idx="7">
                  <c:v>15.04.2018</c:v>
                </c:pt>
                <c:pt idx="8">
                  <c:v>01.05.2018</c:v>
                </c:pt>
                <c:pt idx="9">
                  <c:v>15.05.2018</c:v>
                </c:pt>
                <c:pt idx="10">
                  <c:v>01.06.2018</c:v>
                </c:pt>
                <c:pt idx="11">
                  <c:v>15.06.2018</c:v>
                </c:pt>
                <c:pt idx="12">
                  <c:v>01.07.2018</c:v>
                </c:pt>
                <c:pt idx="13">
                  <c:v>15.07.2018</c:v>
                </c:pt>
                <c:pt idx="14">
                  <c:v>01.08.2018</c:v>
                </c:pt>
                <c:pt idx="15">
                  <c:v>15.08.2018</c:v>
                </c:pt>
                <c:pt idx="16">
                  <c:v>01.09.2018</c:v>
                </c:pt>
                <c:pt idx="17">
                  <c:v>15.09.2018</c:v>
                </c:pt>
                <c:pt idx="18">
                  <c:v>01.10.2018</c:v>
                </c:pt>
                <c:pt idx="19">
                  <c:v>15.10.2018</c:v>
                </c:pt>
                <c:pt idx="20">
                  <c:v>01.11.2018</c:v>
                </c:pt>
                <c:pt idx="21">
                  <c:v>15.11.2018</c:v>
                </c:pt>
                <c:pt idx="22">
                  <c:v>01.12.2018</c:v>
                </c:pt>
                <c:pt idx="23">
                  <c:v>15.12.2018</c:v>
                </c:pt>
                <c:pt idx="24">
                  <c:v>01.01.2019</c:v>
                </c:pt>
                <c:pt idx="25">
                  <c:v>15.01.2019</c:v>
                </c:pt>
                <c:pt idx="26">
                  <c:v>01.02.2019</c:v>
                </c:pt>
              </c:strCache>
            </c:strRef>
          </c:cat>
          <c:val>
            <c:numRef>
              <c:f>Sheet1!$C$2:$C$28</c:f>
              <c:numCache>
                <c:formatCode>0.00</c:formatCode>
                <c:ptCount val="27"/>
                <c:pt idx="0">
                  <c:v>20.4099</c:v>
                </c:pt>
                <c:pt idx="1">
                  <c:v>20.6629</c:v>
                </c:pt>
                <c:pt idx="2">
                  <c:v>20.805</c:v>
                </c:pt>
                <c:pt idx="3">
                  <c:v>20.689</c:v>
                </c:pt>
                <c:pt idx="4">
                  <c:v>20.386700000000001</c:v>
                </c:pt>
                <c:pt idx="5">
                  <c:v>20.494599999999998</c:v>
                </c:pt>
                <c:pt idx="6">
                  <c:v>20.292899999999999</c:v>
                </c:pt>
                <c:pt idx="7">
                  <c:v>20.2254</c:v>
                </c:pt>
                <c:pt idx="8">
                  <c:v>20.137699999999999</c:v>
                </c:pt>
                <c:pt idx="9">
                  <c:v>19.831800000000001</c:v>
                </c:pt>
                <c:pt idx="10">
                  <c:v>19.709599999999998</c:v>
                </c:pt>
                <c:pt idx="11">
                  <c:v>19.807500000000001</c:v>
                </c:pt>
                <c:pt idx="12">
                  <c:v>19.5261</c:v>
                </c:pt>
                <c:pt idx="13">
                  <c:v>19.437000000000001</c:v>
                </c:pt>
                <c:pt idx="14">
                  <c:v>19.434200000000001</c:v>
                </c:pt>
                <c:pt idx="15">
                  <c:v>18.9254</c:v>
                </c:pt>
                <c:pt idx="16">
                  <c:v>19.3644</c:v>
                </c:pt>
                <c:pt idx="17">
                  <c:v>19.511500000000002</c:v>
                </c:pt>
                <c:pt idx="18">
                  <c:v>19.569199999999999</c:v>
                </c:pt>
                <c:pt idx="19">
                  <c:v>19.689599999999999</c:v>
                </c:pt>
                <c:pt idx="20">
                  <c:v>19.427399999999999</c:v>
                </c:pt>
                <c:pt idx="21">
                  <c:v>19.226900000000001</c:v>
                </c:pt>
                <c:pt idx="22">
                  <c:v>19.5868</c:v>
                </c:pt>
                <c:pt idx="23">
                  <c:v>19.645299999999999</c:v>
                </c:pt>
                <c:pt idx="24">
                  <c:v>19.5212</c:v>
                </c:pt>
                <c:pt idx="25">
                  <c:v>19.645600000000002</c:v>
                </c:pt>
                <c:pt idx="26">
                  <c:v>19.6281</c:v>
                </c:pt>
              </c:numCache>
            </c:numRef>
          </c:val>
          <c:smooth val="0"/>
          <c:extLst xmlns:c16r2="http://schemas.microsoft.com/office/drawing/2015/06/chart">
            <c:ext xmlns:c16="http://schemas.microsoft.com/office/drawing/2014/chart" uri="{C3380CC4-5D6E-409C-BE32-E72D297353CC}">
              <c16:uniqueId val="{00000001-3A39-44E8-9FD4-EA9FF4BFCD41}"/>
            </c:ext>
          </c:extLst>
        </c:ser>
        <c:dLbls>
          <c:dLblPos val="t"/>
          <c:showLegendKey val="0"/>
          <c:showVal val="1"/>
          <c:showCatName val="0"/>
          <c:showSerName val="0"/>
          <c:showPercent val="0"/>
          <c:showBubbleSize val="0"/>
        </c:dLbls>
        <c:smooth val="0"/>
        <c:axId val="585168536"/>
        <c:axId val="585177160"/>
      </c:lineChart>
      <c:catAx>
        <c:axId val="585168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85177160"/>
        <c:crosses val="autoZero"/>
        <c:auto val="1"/>
        <c:lblAlgn val="ctr"/>
        <c:lblOffset val="100"/>
        <c:noMultiLvlLbl val="0"/>
      </c:catAx>
      <c:valAx>
        <c:axId val="585177160"/>
        <c:scaling>
          <c:orientation val="minMax"/>
          <c:max val="21"/>
          <c:min val="16"/>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85168536"/>
        <c:crosses val="autoZero"/>
        <c:crossBetween val="between"/>
        <c:majorUnit val="1"/>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161073825503357"/>
          <c:y val="0.14009408022316833"/>
          <c:w val="0.49378055839696777"/>
          <c:h val="0.79083234672683245"/>
        </c:manualLayout>
      </c:layout>
      <c:barChart>
        <c:barDir val="bar"/>
        <c:grouping val="clustered"/>
        <c:varyColors val="0"/>
        <c:ser>
          <c:idx val="1"/>
          <c:order val="1"/>
          <c:tx>
            <c:strRef>
              <c:f>Sheet1!#REF!</c:f>
              <c:strCache>
                <c:ptCount val="1"/>
                <c:pt idx="0">
                  <c:v>#REF!</c:v>
                </c:pt>
              </c:strCache>
            </c:strRef>
          </c:tx>
          <c:spPr>
            <a:solidFill>
              <a:schemeClr val="accent1">
                <a:shade val="76000"/>
              </a:schemeClr>
            </a:solidFill>
            <a:ln>
              <a:noFill/>
            </a:ln>
            <a:effectLst/>
          </c:spPr>
          <c:invertIfNegative val="0"/>
          <c:cat>
            <c:strRef>
              <c:f>Sheet1!$B$1:$M$1</c:f>
              <c:strCache>
                <c:ptCount val="10"/>
                <c:pt idx="0">
                  <c:v>Romania</c:v>
                </c:pt>
                <c:pt idx="1">
                  <c:v>Italia</c:v>
                </c:pt>
                <c:pt idx="2">
                  <c:v>Germania</c:v>
                </c:pt>
                <c:pt idx="3">
                  <c:v>Federatia Rusa</c:v>
                </c:pt>
                <c:pt idx="4">
                  <c:v>Turcia</c:v>
                </c:pt>
                <c:pt idx="5">
                  <c:v>Polonia</c:v>
                </c:pt>
                <c:pt idx="6">
                  <c:v>Belarus</c:v>
                </c:pt>
                <c:pt idx="7">
                  <c:v>Ucraina</c:v>
                </c:pt>
                <c:pt idx="8">
                  <c:v>Regatul Unit al Marii Britanii si Irlandei de Nord</c:v>
                </c:pt>
                <c:pt idx="9">
                  <c:v>China</c:v>
                </c:pt>
              </c:strCache>
            </c:strRef>
          </c:cat>
          <c:val>
            <c:numRef>
              <c:f>Sheet1!#REF!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7-F05B-49B5-AA16-F76D812498BA}"/>
            </c:ext>
          </c:extLst>
        </c:ser>
        <c:ser>
          <c:idx val="2"/>
          <c:order val="2"/>
          <c:tx>
            <c:strRef>
              <c:f>Sheet1!#REF!</c:f>
              <c:strCache>
                <c:ptCount val="1"/>
                <c:pt idx="0">
                  <c:v>#REF!</c:v>
                </c:pt>
              </c:strCache>
            </c:strRef>
          </c:tx>
          <c:spPr>
            <a:solidFill>
              <a:schemeClr val="accent1">
                <a:shade val="76000"/>
              </a:schemeClr>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8-F05B-49B5-AA16-F76D812498BA}"/>
              </c:ext>
            </c:extLst>
          </c:dPt>
          <c:dPt>
            <c:idx val="1"/>
            <c:invertIfNegative val="0"/>
            <c:bubble3D val="0"/>
            <c:extLst xmlns:c16r2="http://schemas.microsoft.com/office/drawing/2015/06/chart">
              <c:ext xmlns:c16="http://schemas.microsoft.com/office/drawing/2014/chart" uri="{C3380CC4-5D6E-409C-BE32-E72D297353CC}">
                <c16:uniqueId val="{00000009-F05B-49B5-AA16-F76D812498BA}"/>
              </c:ext>
            </c:extLst>
          </c:dPt>
          <c:dPt>
            <c:idx val="3"/>
            <c:invertIfNegative val="0"/>
            <c:bubble3D val="0"/>
            <c:extLst xmlns:c16r2="http://schemas.microsoft.com/office/drawing/2015/06/chart">
              <c:ext xmlns:c16="http://schemas.microsoft.com/office/drawing/2014/chart" uri="{C3380CC4-5D6E-409C-BE32-E72D297353CC}">
                <c16:uniqueId val="{0000000A-F05B-49B5-AA16-F76D812498BA}"/>
              </c:ext>
            </c:extLst>
          </c:dPt>
          <c:dPt>
            <c:idx val="5"/>
            <c:invertIfNegative val="0"/>
            <c:bubble3D val="0"/>
            <c:extLst xmlns:c16r2="http://schemas.microsoft.com/office/drawing/2015/06/chart">
              <c:ext xmlns:c16="http://schemas.microsoft.com/office/drawing/2014/chart" uri="{C3380CC4-5D6E-409C-BE32-E72D297353CC}">
                <c16:uniqueId val="{0000000B-F05B-49B5-AA16-F76D812498BA}"/>
              </c:ext>
            </c:extLst>
          </c:dPt>
          <c:dPt>
            <c:idx val="6"/>
            <c:invertIfNegative val="0"/>
            <c:bubble3D val="0"/>
            <c:extLst xmlns:c16r2="http://schemas.microsoft.com/office/drawing/2015/06/chart">
              <c:ext xmlns:c16="http://schemas.microsoft.com/office/drawing/2014/chart" uri="{C3380CC4-5D6E-409C-BE32-E72D297353CC}">
                <c16:uniqueId val="{0000000C-F05B-49B5-AA16-F76D812498BA}"/>
              </c:ext>
            </c:extLst>
          </c:dPt>
          <c:dPt>
            <c:idx val="7"/>
            <c:invertIfNegative val="0"/>
            <c:bubble3D val="0"/>
            <c:extLst xmlns:c16r2="http://schemas.microsoft.com/office/drawing/2015/06/chart">
              <c:ext xmlns:c16="http://schemas.microsoft.com/office/drawing/2014/chart" uri="{C3380CC4-5D6E-409C-BE32-E72D297353CC}">
                <c16:uniqueId val="{0000000D-F05B-49B5-AA16-F76D812498BA}"/>
              </c:ext>
            </c:extLst>
          </c:dPt>
          <c:dPt>
            <c:idx val="8"/>
            <c:invertIfNegative val="0"/>
            <c:bubble3D val="0"/>
            <c:extLst xmlns:c16r2="http://schemas.microsoft.com/office/drawing/2015/06/chart">
              <c:ext xmlns:c16="http://schemas.microsoft.com/office/drawing/2014/chart" uri="{C3380CC4-5D6E-409C-BE32-E72D297353CC}">
                <c16:uniqueId val="{0000000E-F05B-49B5-AA16-F76D812498BA}"/>
              </c:ext>
            </c:extLst>
          </c:dPt>
          <c:cat>
            <c:strRef>
              <c:f>Sheet1!$B$1:$M$1</c:f>
              <c:strCache>
                <c:ptCount val="10"/>
                <c:pt idx="0">
                  <c:v>Romania</c:v>
                </c:pt>
                <c:pt idx="1">
                  <c:v>Italia</c:v>
                </c:pt>
                <c:pt idx="2">
                  <c:v>Germania</c:v>
                </c:pt>
                <c:pt idx="3">
                  <c:v>Federatia Rusa</c:v>
                </c:pt>
                <c:pt idx="4">
                  <c:v>Turcia</c:v>
                </c:pt>
                <c:pt idx="5">
                  <c:v>Polonia</c:v>
                </c:pt>
                <c:pt idx="6">
                  <c:v>Belarus</c:v>
                </c:pt>
                <c:pt idx="7">
                  <c:v>Ucraina</c:v>
                </c:pt>
                <c:pt idx="8">
                  <c:v>Regatul Unit al Marii Britanii si Irlandei de Nord</c:v>
                </c:pt>
                <c:pt idx="9">
                  <c:v>China</c:v>
                </c:pt>
              </c:strCache>
            </c:strRef>
          </c:cat>
          <c:val>
            <c:numRef>
              <c:f>Sheet1!$B$3:$M$3</c:f>
              <c:numCache>
                <c:formatCode>General</c:formatCode>
                <c:ptCount val="12"/>
              </c:numCache>
            </c:numRef>
          </c:val>
          <c:extLst xmlns:c16r2="http://schemas.microsoft.com/office/drawing/2015/06/chart">
            <c:ext xmlns:c16="http://schemas.microsoft.com/office/drawing/2014/chart" uri="{C3380CC4-5D6E-409C-BE32-E72D297353CC}">
              <c16:uniqueId val="{0000000F-F05B-49B5-AA16-F76D812498BA}"/>
            </c:ext>
          </c:extLst>
        </c:ser>
        <c:ser>
          <c:idx val="3"/>
          <c:order val="3"/>
          <c:tx>
            <c:strRef>
              <c:f>Sheet1!#REF!</c:f>
              <c:strCache>
                <c:ptCount val="1"/>
                <c:pt idx="0">
                  <c:v>#REF!</c:v>
                </c:pt>
              </c:strCache>
            </c:strRef>
          </c:tx>
          <c:spPr>
            <a:solidFill>
              <a:schemeClr val="accent1">
                <a:tint val="77000"/>
              </a:schemeClr>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10-F05B-49B5-AA16-F76D812498BA}"/>
              </c:ext>
            </c:extLst>
          </c:dPt>
          <c:dPt>
            <c:idx val="1"/>
            <c:invertIfNegative val="0"/>
            <c:bubble3D val="0"/>
            <c:extLst xmlns:c16r2="http://schemas.microsoft.com/office/drawing/2015/06/chart">
              <c:ext xmlns:c16="http://schemas.microsoft.com/office/drawing/2014/chart" uri="{C3380CC4-5D6E-409C-BE32-E72D297353CC}">
                <c16:uniqueId val="{00000011-F05B-49B5-AA16-F76D812498BA}"/>
              </c:ext>
            </c:extLst>
          </c:dPt>
          <c:dPt>
            <c:idx val="2"/>
            <c:invertIfNegative val="0"/>
            <c:bubble3D val="0"/>
            <c:extLst xmlns:c16r2="http://schemas.microsoft.com/office/drawing/2015/06/chart">
              <c:ext xmlns:c16="http://schemas.microsoft.com/office/drawing/2014/chart" uri="{C3380CC4-5D6E-409C-BE32-E72D297353CC}">
                <c16:uniqueId val="{00000012-F05B-49B5-AA16-F76D812498BA}"/>
              </c:ext>
            </c:extLst>
          </c:dPt>
          <c:dPt>
            <c:idx val="5"/>
            <c:invertIfNegative val="0"/>
            <c:bubble3D val="0"/>
            <c:extLst xmlns:c16r2="http://schemas.microsoft.com/office/drawing/2015/06/chart">
              <c:ext xmlns:c16="http://schemas.microsoft.com/office/drawing/2014/chart" uri="{C3380CC4-5D6E-409C-BE32-E72D297353CC}">
                <c16:uniqueId val="{00000013-F05B-49B5-AA16-F76D812498BA}"/>
              </c:ext>
            </c:extLst>
          </c:dPt>
          <c:dPt>
            <c:idx val="6"/>
            <c:invertIfNegative val="0"/>
            <c:bubble3D val="0"/>
            <c:extLst xmlns:c16r2="http://schemas.microsoft.com/office/drawing/2015/06/chart">
              <c:ext xmlns:c16="http://schemas.microsoft.com/office/drawing/2014/chart" uri="{C3380CC4-5D6E-409C-BE32-E72D297353CC}">
                <c16:uniqueId val="{00000014-F05B-49B5-AA16-F76D812498BA}"/>
              </c:ext>
            </c:extLst>
          </c:dPt>
          <c:dPt>
            <c:idx val="7"/>
            <c:invertIfNegative val="0"/>
            <c:bubble3D val="0"/>
            <c:extLst xmlns:c16r2="http://schemas.microsoft.com/office/drawing/2015/06/chart">
              <c:ext xmlns:c16="http://schemas.microsoft.com/office/drawing/2014/chart" uri="{C3380CC4-5D6E-409C-BE32-E72D297353CC}">
                <c16:uniqueId val="{00000015-F05B-49B5-AA16-F76D812498BA}"/>
              </c:ext>
            </c:extLst>
          </c:dPt>
          <c:dPt>
            <c:idx val="8"/>
            <c:invertIfNegative val="0"/>
            <c:bubble3D val="0"/>
            <c:extLst xmlns:c16r2="http://schemas.microsoft.com/office/drawing/2015/06/chart">
              <c:ext xmlns:c16="http://schemas.microsoft.com/office/drawing/2014/chart" uri="{C3380CC4-5D6E-409C-BE32-E72D297353CC}">
                <c16:uniqueId val="{00000016-F05B-49B5-AA16-F76D812498BA}"/>
              </c:ext>
            </c:extLst>
          </c:dPt>
          <c:cat>
            <c:strRef>
              <c:f>Sheet1!$B$1:$M$1</c:f>
              <c:strCache>
                <c:ptCount val="10"/>
                <c:pt idx="0">
                  <c:v>Romania</c:v>
                </c:pt>
                <c:pt idx="1">
                  <c:v>Italia</c:v>
                </c:pt>
                <c:pt idx="2">
                  <c:v>Germania</c:v>
                </c:pt>
                <c:pt idx="3">
                  <c:v>Federatia Rusa</c:v>
                </c:pt>
                <c:pt idx="4">
                  <c:v>Turcia</c:v>
                </c:pt>
                <c:pt idx="5">
                  <c:v>Polonia</c:v>
                </c:pt>
                <c:pt idx="6">
                  <c:v>Belarus</c:v>
                </c:pt>
                <c:pt idx="7">
                  <c:v>Ucraina</c:v>
                </c:pt>
                <c:pt idx="8">
                  <c:v>Regatul Unit al Marii Britanii si Irlandei de Nord</c:v>
                </c:pt>
                <c:pt idx="9">
                  <c:v>China</c:v>
                </c:pt>
              </c:strCache>
            </c:strRef>
          </c:cat>
          <c:val>
            <c:numRef>
              <c:f>Sheet1!$B$4:$M$4</c:f>
              <c:numCache>
                <c:formatCode>General</c:formatCode>
                <c:ptCount val="12"/>
              </c:numCache>
            </c:numRef>
          </c:val>
          <c:extLst xmlns:c16r2="http://schemas.microsoft.com/office/drawing/2015/06/chart">
            <c:ext xmlns:c16="http://schemas.microsoft.com/office/drawing/2014/chart" uri="{C3380CC4-5D6E-409C-BE32-E72D297353CC}">
              <c16:uniqueId val="{00000017-F05B-49B5-AA16-F76D812498BA}"/>
            </c:ext>
          </c:extLst>
        </c:ser>
        <c:ser>
          <c:idx val="4"/>
          <c:order val="4"/>
          <c:tx>
            <c:strRef>
              <c:f>Sheet1!$A$1</c:f>
              <c:strCache>
                <c:ptCount val="1"/>
                <c:pt idx="0">
                  <c:v>export</c:v>
                </c:pt>
              </c:strCache>
            </c:strRef>
          </c:tx>
          <c:spPr>
            <a:solidFill>
              <a:schemeClr val="accent1">
                <a:tint val="54000"/>
              </a:schemeClr>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18-F05B-49B5-AA16-F76D812498BA}"/>
              </c:ext>
            </c:extLst>
          </c:dPt>
          <c:dPt>
            <c:idx val="1"/>
            <c:invertIfNegative val="0"/>
            <c:bubble3D val="0"/>
            <c:extLst xmlns:c16r2="http://schemas.microsoft.com/office/drawing/2015/06/chart">
              <c:ext xmlns:c16="http://schemas.microsoft.com/office/drawing/2014/chart" uri="{C3380CC4-5D6E-409C-BE32-E72D297353CC}">
                <c16:uniqueId val="{00000019-F05B-49B5-AA16-F76D812498BA}"/>
              </c:ext>
            </c:extLst>
          </c:dPt>
          <c:dPt>
            <c:idx val="2"/>
            <c:invertIfNegative val="0"/>
            <c:bubble3D val="0"/>
            <c:extLst xmlns:c16r2="http://schemas.microsoft.com/office/drawing/2015/06/chart">
              <c:ext xmlns:c16="http://schemas.microsoft.com/office/drawing/2014/chart" uri="{C3380CC4-5D6E-409C-BE32-E72D297353CC}">
                <c16:uniqueId val="{0000001A-F05B-49B5-AA16-F76D812498BA}"/>
              </c:ext>
            </c:extLst>
          </c:dPt>
          <c:dPt>
            <c:idx val="3"/>
            <c:invertIfNegative val="0"/>
            <c:bubble3D val="0"/>
            <c:extLst xmlns:c16r2="http://schemas.microsoft.com/office/drawing/2015/06/chart">
              <c:ext xmlns:c16="http://schemas.microsoft.com/office/drawing/2014/chart" uri="{C3380CC4-5D6E-409C-BE32-E72D297353CC}">
                <c16:uniqueId val="{0000001B-F05B-49B5-AA16-F76D812498BA}"/>
              </c:ext>
            </c:extLst>
          </c:dPt>
          <c:dPt>
            <c:idx val="5"/>
            <c:invertIfNegative val="0"/>
            <c:bubble3D val="0"/>
            <c:extLst xmlns:c16r2="http://schemas.microsoft.com/office/drawing/2015/06/chart">
              <c:ext xmlns:c16="http://schemas.microsoft.com/office/drawing/2014/chart" uri="{C3380CC4-5D6E-409C-BE32-E72D297353CC}">
                <c16:uniqueId val="{0000001C-F05B-49B5-AA16-F76D812498BA}"/>
              </c:ext>
            </c:extLst>
          </c:dPt>
          <c:dPt>
            <c:idx val="7"/>
            <c:invertIfNegative val="0"/>
            <c:bubble3D val="0"/>
            <c:extLst xmlns:c16r2="http://schemas.microsoft.com/office/drawing/2015/06/chart">
              <c:ext xmlns:c16="http://schemas.microsoft.com/office/drawing/2014/chart" uri="{C3380CC4-5D6E-409C-BE32-E72D297353CC}">
                <c16:uniqueId val="{0000001D-F05B-49B5-AA16-F76D812498BA}"/>
              </c:ext>
            </c:extLst>
          </c:dPt>
          <c:dPt>
            <c:idx val="8"/>
            <c:invertIfNegative val="0"/>
            <c:bubble3D val="0"/>
            <c:extLst xmlns:c16r2="http://schemas.microsoft.com/office/drawing/2015/06/chart">
              <c:ext xmlns:c16="http://schemas.microsoft.com/office/drawing/2014/chart" uri="{C3380CC4-5D6E-409C-BE32-E72D297353CC}">
                <c16:uniqueId val="{0000001E-F05B-49B5-AA16-F76D812498BA}"/>
              </c:ext>
            </c:extLst>
          </c:dPt>
          <c:cat>
            <c:strRef>
              <c:f>Sheet1!$B$1:$M$1</c:f>
              <c:strCache>
                <c:ptCount val="10"/>
                <c:pt idx="0">
                  <c:v>Romania</c:v>
                </c:pt>
                <c:pt idx="1">
                  <c:v>Italia</c:v>
                </c:pt>
                <c:pt idx="2">
                  <c:v>Germania</c:v>
                </c:pt>
                <c:pt idx="3">
                  <c:v>Federatia Rusa</c:v>
                </c:pt>
                <c:pt idx="4">
                  <c:v>Turcia</c:v>
                </c:pt>
                <c:pt idx="5">
                  <c:v>Polonia</c:v>
                </c:pt>
                <c:pt idx="6">
                  <c:v>Belarus</c:v>
                </c:pt>
                <c:pt idx="7">
                  <c:v>Ucraina</c:v>
                </c:pt>
                <c:pt idx="8">
                  <c:v>Regatul Unit al Marii Britanii si Irlandei de Nord</c:v>
                </c:pt>
                <c:pt idx="9">
                  <c:v>China</c:v>
                </c:pt>
              </c:strCache>
            </c:strRef>
          </c:cat>
          <c:val>
            <c:numRef>
              <c:f>Sheet1!$B$5:$M$5</c:f>
              <c:numCache>
                <c:formatCode>#,##0.00</c:formatCode>
                <c:ptCount val="12"/>
                <c:pt idx="0">
                  <c:v>694.52998000000002</c:v>
                </c:pt>
                <c:pt idx="1">
                  <c:v>331.20764000000003</c:v>
                </c:pt>
                <c:pt idx="2">
                  <c:v>390.60183000000001</c:v>
                </c:pt>
                <c:pt idx="3">
                  <c:v>571.70965999999999</c:v>
                </c:pt>
                <c:pt idx="4">
                  <c:v>304.33822999999995</c:v>
                </c:pt>
                <c:pt idx="5">
                  <c:v>165.71431000000001</c:v>
                </c:pt>
                <c:pt idx="6">
                  <c:v>114.59144999999999</c:v>
                </c:pt>
                <c:pt idx="7">
                  <c:v>511.09879999999998</c:v>
                </c:pt>
                <c:pt idx="8">
                  <c:v>57.121540000000003</c:v>
                </c:pt>
                <c:pt idx="9">
                  <c:v>505.37733000000003</c:v>
                </c:pt>
              </c:numCache>
            </c:numRef>
          </c:val>
          <c:extLst xmlns:c16r2="http://schemas.microsoft.com/office/drawing/2015/06/chart">
            <c:ext xmlns:c16="http://schemas.microsoft.com/office/drawing/2014/chart" uri="{C3380CC4-5D6E-409C-BE32-E72D297353CC}">
              <c16:uniqueId val="{0000001F-F05B-49B5-AA16-F76D812498BA}"/>
            </c:ext>
          </c:extLst>
        </c:ser>
        <c:ser>
          <c:idx val="0"/>
          <c:order val="0"/>
          <c:tx>
            <c:strRef>
              <c:f>Sheet1!#REF!</c:f>
              <c:strCache>
                <c:ptCount val="1"/>
                <c:pt idx="0">
                  <c:v>#REF!</c:v>
                </c:pt>
              </c:strCache>
            </c:strRef>
          </c:tx>
          <c:spPr>
            <a:solidFill>
              <a:schemeClr val="accent1">
                <a:shade val="53000"/>
              </a:schemeClr>
            </a:solidFill>
            <a:ln>
              <a:noFill/>
            </a:ln>
            <a:effectLst/>
          </c:spPr>
          <c:invertIfNegative val="0"/>
          <c:dPt>
            <c:idx val="1"/>
            <c:invertIfNegative val="0"/>
            <c:bubble3D val="0"/>
            <c:extLst xmlns:c16r2="http://schemas.microsoft.com/office/drawing/2015/06/chart">
              <c:ext xmlns:c16="http://schemas.microsoft.com/office/drawing/2014/chart" uri="{C3380CC4-5D6E-409C-BE32-E72D297353CC}">
                <c16:uniqueId val="{00000020-F05B-49B5-AA16-F76D812498BA}"/>
              </c:ext>
            </c:extLst>
          </c:dPt>
          <c:dPt>
            <c:idx val="2"/>
            <c:invertIfNegative val="0"/>
            <c:bubble3D val="0"/>
            <c:extLst xmlns:c16r2="http://schemas.microsoft.com/office/drawing/2015/06/chart">
              <c:ext xmlns:c16="http://schemas.microsoft.com/office/drawing/2014/chart" uri="{C3380CC4-5D6E-409C-BE32-E72D297353CC}">
                <c16:uniqueId val="{00000021-F05B-49B5-AA16-F76D812498BA}"/>
              </c:ext>
            </c:extLst>
          </c:dPt>
          <c:dPt>
            <c:idx val="3"/>
            <c:invertIfNegative val="0"/>
            <c:bubble3D val="0"/>
            <c:extLst xmlns:c16r2="http://schemas.microsoft.com/office/drawing/2015/06/chart">
              <c:ext xmlns:c16="http://schemas.microsoft.com/office/drawing/2014/chart" uri="{C3380CC4-5D6E-409C-BE32-E72D297353CC}">
                <c16:uniqueId val="{00000022-F05B-49B5-AA16-F76D812498BA}"/>
              </c:ext>
            </c:extLst>
          </c:dPt>
          <c:dPt>
            <c:idx val="5"/>
            <c:invertIfNegative val="0"/>
            <c:bubble3D val="0"/>
            <c:extLst xmlns:c16r2="http://schemas.microsoft.com/office/drawing/2015/06/chart">
              <c:ext xmlns:c16="http://schemas.microsoft.com/office/drawing/2014/chart" uri="{C3380CC4-5D6E-409C-BE32-E72D297353CC}">
                <c16:uniqueId val="{00000023-F05B-49B5-AA16-F76D812498BA}"/>
              </c:ext>
            </c:extLst>
          </c:dPt>
          <c:dPt>
            <c:idx val="6"/>
            <c:invertIfNegative val="0"/>
            <c:bubble3D val="0"/>
            <c:extLst xmlns:c16r2="http://schemas.microsoft.com/office/drawing/2015/06/chart">
              <c:ext xmlns:c16="http://schemas.microsoft.com/office/drawing/2014/chart" uri="{C3380CC4-5D6E-409C-BE32-E72D297353CC}">
                <c16:uniqueId val="{00000024-F05B-49B5-AA16-F76D812498BA}"/>
              </c:ext>
            </c:extLst>
          </c:dPt>
          <c:dPt>
            <c:idx val="8"/>
            <c:invertIfNegative val="0"/>
            <c:bubble3D val="0"/>
            <c:extLst xmlns:c16r2="http://schemas.microsoft.com/office/drawing/2015/06/chart">
              <c:ext xmlns:c16="http://schemas.microsoft.com/office/drawing/2014/chart" uri="{C3380CC4-5D6E-409C-BE32-E72D297353CC}">
                <c16:uniqueId val="{00000025-F05B-49B5-AA16-F76D812498BA}"/>
              </c:ext>
            </c:extLst>
          </c:dPt>
          <c:cat>
            <c:strRef>
              <c:f>Sheet1!$B$1:$M$1</c:f>
              <c:strCache>
                <c:ptCount val="10"/>
                <c:pt idx="0">
                  <c:v>Romania</c:v>
                </c:pt>
                <c:pt idx="1">
                  <c:v>Italia</c:v>
                </c:pt>
                <c:pt idx="2">
                  <c:v>Germania</c:v>
                </c:pt>
                <c:pt idx="3">
                  <c:v>Federatia Rusa</c:v>
                </c:pt>
                <c:pt idx="4">
                  <c:v>Turcia</c:v>
                </c:pt>
                <c:pt idx="5">
                  <c:v>Polonia</c:v>
                </c:pt>
                <c:pt idx="6">
                  <c:v>Belarus</c:v>
                </c:pt>
                <c:pt idx="7">
                  <c:v>Ucraina</c:v>
                </c:pt>
                <c:pt idx="8">
                  <c:v>Regatul Unit al Marii Britanii si Irlandei de Nord</c:v>
                </c:pt>
                <c:pt idx="9">
                  <c:v>China</c:v>
                </c:pt>
              </c:strCache>
            </c:strRef>
          </c:cat>
          <c:val>
            <c:numRef>
              <c:f>Sheet1!$B$2:$M$2</c:f>
              <c:numCache>
                <c:formatCode>#,##0.00</c:formatCode>
                <c:ptCount val="12"/>
                <c:pt idx="0">
                  <c:v>-600.62221</c:v>
                </c:pt>
                <c:pt idx="1">
                  <c:v>-236.02589</c:v>
                </c:pt>
                <c:pt idx="2">
                  <c:v>-166.12532999999999</c:v>
                </c:pt>
                <c:pt idx="3">
                  <c:v>-254.53773999999999</c:v>
                </c:pt>
                <c:pt idx="4">
                  <c:v>-104.06331</c:v>
                </c:pt>
                <c:pt idx="5">
                  <c:v>-102.92288000000001</c:v>
                </c:pt>
                <c:pt idx="6">
                  <c:v>-110.07692999999999</c:v>
                </c:pt>
                <c:pt idx="7">
                  <c:v>-65.524029999999996</c:v>
                </c:pt>
                <c:pt idx="8">
                  <c:v>-136.14904999999999</c:v>
                </c:pt>
                <c:pt idx="9">
                  <c:v>-19.000259999999997</c:v>
                </c:pt>
              </c:numCache>
            </c:numRef>
          </c:val>
          <c:extLst xmlns:c16r2="http://schemas.microsoft.com/office/drawing/2015/06/chart">
            <c:ext xmlns:c16="http://schemas.microsoft.com/office/drawing/2014/chart" uri="{C3380CC4-5D6E-409C-BE32-E72D297353CC}">
              <c16:uniqueId val="{00000026-F05B-49B5-AA16-F76D812498BA}"/>
            </c:ext>
          </c:extLst>
        </c:ser>
        <c:dLbls>
          <c:showLegendKey val="0"/>
          <c:showVal val="0"/>
          <c:showCatName val="0"/>
          <c:showSerName val="0"/>
          <c:showPercent val="0"/>
          <c:showBubbleSize val="0"/>
        </c:dLbls>
        <c:gapWidth val="0"/>
        <c:overlap val="81"/>
        <c:axId val="665744832"/>
        <c:axId val="665769136"/>
      </c:barChart>
      <c:valAx>
        <c:axId val="665769136"/>
        <c:scaling>
          <c:orientation val="minMax"/>
          <c:max val="850"/>
          <c:min val="-800"/>
        </c:scaling>
        <c:delete val="0"/>
        <c:axPos val="b"/>
        <c:majorGridlines>
          <c:spPr>
            <a:ln w="9525" cap="flat" cmpd="sng" algn="ctr">
              <a:solidFill>
                <a:schemeClr val="tx2">
                  <a:lumMod val="15000"/>
                  <a:lumOff val="85000"/>
                </a:schemeClr>
              </a:solidFill>
              <a:prstDash val="solid"/>
              <a:round/>
            </a:ln>
            <a:effectLst/>
          </c:spPr>
        </c:majorGridlines>
        <c:title>
          <c:tx>
            <c:rich>
              <a:bodyPr rot="0" spcFirstLastPara="1" vertOverflow="ellipsis" vert="horz" wrap="square" anchor="ctr" anchorCtr="1"/>
              <a:lstStyle/>
              <a:p>
                <a:pPr>
                  <a:defRPr sz="800" b="1" i="0" u="none" strike="noStrike" kern="1200" baseline="0">
                    <a:solidFill>
                      <a:schemeClr val="tx2"/>
                    </a:solidFill>
                    <a:latin typeface="+mn-lt"/>
                    <a:ea typeface="+mn-ea"/>
                    <a:cs typeface="+mn-cs"/>
                  </a:defRPr>
                </a:pPr>
                <a:r>
                  <a:rPr lang="ro-RO" sz="800"/>
                  <a:t>Importul</a:t>
                </a:r>
                <a:r>
                  <a:rPr lang="ro-RO" sz="800" baseline="0"/>
                  <a:t> de bunuri</a:t>
                </a:r>
                <a:endParaRPr lang="en-US" sz="800"/>
              </a:p>
            </c:rich>
          </c:tx>
          <c:layout>
            <c:manualLayout>
              <c:xMode val="edge"/>
              <c:yMode val="edge"/>
              <c:x val="0.62529279140368554"/>
              <c:y val="1.2879934125881324E-2"/>
            </c:manualLayout>
          </c:layout>
          <c:overlay val="0"/>
          <c:spPr>
            <a:noFill/>
            <a:ln>
              <a:noFill/>
            </a:ln>
            <a:effectLst/>
          </c:spPr>
        </c:title>
        <c:numFmt formatCode="0;0" sourceLinked="0"/>
        <c:majorTickMark val="none"/>
        <c:minorTickMark val="none"/>
        <c:tickLblPos val="low"/>
        <c:spPr>
          <a:noFill/>
          <a:ln w="6350" cap="flat" cmpd="sng" algn="ctr">
            <a:noFill/>
            <a:prstDash val="solid"/>
            <a:round/>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665744832"/>
        <c:crosses val="autoZero"/>
        <c:crossBetween val="between"/>
        <c:majorUnit val="200"/>
        <c:minorUnit val="50"/>
      </c:valAx>
      <c:catAx>
        <c:axId val="665744832"/>
        <c:scaling>
          <c:orientation val="minMax"/>
        </c:scaling>
        <c:delete val="0"/>
        <c:axPos val="l"/>
        <c:title>
          <c:tx>
            <c:rich>
              <a:bodyPr rot="0" spcFirstLastPara="1" vertOverflow="ellipsis" wrap="square" anchor="ctr" anchorCtr="1"/>
              <a:lstStyle/>
              <a:p>
                <a:pPr>
                  <a:defRPr sz="800" b="1" i="0" u="none" strike="noStrike" kern="1200" baseline="0">
                    <a:solidFill>
                      <a:schemeClr val="tx2"/>
                    </a:solidFill>
                    <a:latin typeface="+mn-lt"/>
                    <a:ea typeface="+mn-ea"/>
                    <a:cs typeface="+mn-cs"/>
                  </a:defRPr>
                </a:pPr>
                <a:r>
                  <a:rPr lang="ro-RO" sz="800"/>
                  <a:t>Exportul</a:t>
                </a:r>
                <a:r>
                  <a:rPr lang="ro-RO" sz="800" baseline="0"/>
                  <a:t> de bunuri </a:t>
                </a:r>
                <a:endParaRPr lang="en-US" sz="800"/>
              </a:p>
            </c:rich>
          </c:tx>
          <c:layout>
            <c:manualLayout>
              <c:xMode val="edge"/>
              <c:yMode val="edge"/>
              <c:x val="0.29392316495686083"/>
              <c:y val="1.2493952961762138E-2"/>
            </c:manualLayout>
          </c:layout>
          <c:overlay val="0"/>
          <c:spPr>
            <a:noFill/>
            <a:ln>
              <a:noFill/>
            </a:ln>
            <a:effectLst/>
          </c:spPr>
        </c:title>
        <c:numFmt formatCode="General" sourceLinked="1"/>
        <c:majorTickMark val="none"/>
        <c:minorTickMark val="none"/>
        <c:tickLblPos val="low"/>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665769136"/>
        <c:crossesAt val="0"/>
        <c:auto val="1"/>
        <c:lblAlgn val="ctr"/>
        <c:lblOffset val="100"/>
        <c:noMultiLvlLbl val="0"/>
      </c:catAx>
      <c:spPr>
        <a:noFill/>
        <a:ln>
          <a:noFill/>
        </a:ln>
        <a:effectLst/>
      </c:spPr>
    </c:plotArea>
    <c:plotVisOnly val="1"/>
    <c:dispBlanksAs val="zero"/>
    <c:showDLblsOverMax val="0"/>
  </c:chart>
  <c:spPr>
    <a:solidFill>
      <a:schemeClr val="bg1"/>
    </a:solidFill>
    <a:ln w="9525" cap="flat" cmpd="sng" algn="ctr">
      <a:noFill/>
      <a:prstDash val="solid"/>
      <a:round/>
    </a:ln>
    <a:effectLst/>
  </c:spPr>
  <c:txPr>
    <a:bodyPr/>
    <a:lstStyle/>
    <a:p>
      <a:pPr>
        <a:defRPr/>
      </a:pPr>
      <a:endParaRPr lang="en-US"/>
    </a:p>
  </c:txPr>
  <c:externalData r:id="rId2">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161073825503357"/>
          <c:y val="0.14009408022316833"/>
          <c:w val="0.50580641594898712"/>
          <c:h val="0.79083234672683245"/>
        </c:manualLayout>
      </c:layout>
      <c:barChart>
        <c:barDir val="bar"/>
        <c:grouping val="clustered"/>
        <c:varyColors val="0"/>
        <c:ser>
          <c:idx val="1"/>
          <c:order val="1"/>
          <c:tx>
            <c:strRef>
              <c:f>Sheet1!#REF!</c:f>
              <c:strCache>
                <c:ptCount val="1"/>
                <c:pt idx="0">
                  <c:v>#REF!</c:v>
                </c:pt>
              </c:strCache>
            </c:strRef>
          </c:tx>
          <c:spPr>
            <a:solidFill>
              <a:schemeClr val="accent1">
                <a:shade val="76000"/>
              </a:schemeClr>
            </a:solidFill>
            <a:ln>
              <a:noFill/>
            </a:ln>
            <a:effectLst/>
          </c:spPr>
          <c:invertIfNegative val="0"/>
          <c:cat>
            <c:strRef>
              <c:f>Sheet1!$B$1:$M$1</c:f>
              <c:strCache>
                <c:ptCount val="10"/>
                <c:pt idx="0">
                  <c:v>Romania</c:v>
                </c:pt>
                <c:pt idx="1">
                  <c:v>Italia</c:v>
                </c:pt>
                <c:pt idx="2">
                  <c:v>Germania</c:v>
                </c:pt>
                <c:pt idx="3">
                  <c:v>Federatia Rusa</c:v>
                </c:pt>
                <c:pt idx="4">
                  <c:v>Turcia</c:v>
                </c:pt>
                <c:pt idx="5">
                  <c:v>Polonia</c:v>
                </c:pt>
                <c:pt idx="6">
                  <c:v>Belarus</c:v>
                </c:pt>
                <c:pt idx="7">
                  <c:v>Ucraina</c:v>
                </c:pt>
                <c:pt idx="8">
                  <c:v>Regatul Unit al Marii Britanii si Irlandei de Nord</c:v>
                </c:pt>
                <c:pt idx="9">
                  <c:v>China</c:v>
                </c:pt>
              </c:strCache>
            </c:strRef>
          </c:cat>
          <c:val>
            <c:numRef>
              <c:f>Sheet1!#REF!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7-4BCD-4CFF-BE4F-7C6161772467}"/>
            </c:ext>
          </c:extLst>
        </c:ser>
        <c:ser>
          <c:idx val="2"/>
          <c:order val="2"/>
          <c:tx>
            <c:strRef>
              <c:f>Sheet1!$A$3</c:f>
              <c:strCache>
                <c:ptCount val="1"/>
              </c:strCache>
            </c:strRef>
          </c:tx>
          <c:spPr>
            <a:solidFill>
              <a:schemeClr val="accent1"/>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8-4BCD-4CFF-BE4F-7C6161772467}"/>
              </c:ext>
            </c:extLst>
          </c:dPt>
          <c:dPt>
            <c:idx val="1"/>
            <c:invertIfNegative val="0"/>
            <c:bubble3D val="0"/>
            <c:extLst xmlns:c16r2="http://schemas.microsoft.com/office/drawing/2015/06/chart">
              <c:ext xmlns:c16="http://schemas.microsoft.com/office/drawing/2014/chart" uri="{C3380CC4-5D6E-409C-BE32-E72D297353CC}">
                <c16:uniqueId val="{00000009-4BCD-4CFF-BE4F-7C6161772467}"/>
              </c:ext>
            </c:extLst>
          </c:dPt>
          <c:dPt>
            <c:idx val="3"/>
            <c:invertIfNegative val="0"/>
            <c:bubble3D val="0"/>
            <c:extLst xmlns:c16r2="http://schemas.microsoft.com/office/drawing/2015/06/chart">
              <c:ext xmlns:c16="http://schemas.microsoft.com/office/drawing/2014/chart" uri="{C3380CC4-5D6E-409C-BE32-E72D297353CC}">
                <c16:uniqueId val="{0000000A-4BCD-4CFF-BE4F-7C6161772467}"/>
              </c:ext>
            </c:extLst>
          </c:dPt>
          <c:dPt>
            <c:idx val="7"/>
            <c:invertIfNegative val="0"/>
            <c:bubble3D val="0"/>
            <c:extLst xmlns:c16r2="http://schemas.microsoft.com/office/drawing/2015/06/chart">
              <c:ext xmlns:c16="http://schemas.microsoft.com/office/drawing/2014/chart" uri="{C3380CC4-5D6E-409C-BE32-E72D297353CC}">
                <c16:uniqueId val="{0000000D-4BCD-4CFF-BE4F-7C6161772467}"/>
              </c:ext>
            </c:extLst>
          </c:dPt>
          <c:dPt>
            <c:idx val="8"/>
            <c:invertIfNegative val="0"/>
            <c:bubble3D val="0"/>
            <c:extLst xmlns:c16r2="http://schemas.microsoft.com/office/drawing/2015/06/chart">
              <c:ext xmlns:c16="http://schemas.microsoft.com/office/drawing/2014/chart" uri="{C3380CC4-5D6E-409C-BE32-E72D297353CC}">
                <c16:uniqueId val="{0000000E-4BCD-4CFF-BE4F-7C6161772467}"/>
              </c:ext>
            </c:extLst>
          </c:dPt>
          <c:cat>
            <c:strRef>
              <c:f>Sheet1!$B$1:$M$1</c:f>
              <c:strCache>
                <c:ptCount val="10"/>
                <c:pt idx="0">
                  <c:v>Romania</c:v>
                </c:pt>
                <c:pt idx="1">
                  <c:v>Italia</c:v>
                </c:pt>
                <c:pt idx="2">
                  <c:v>Germania</c:v>
                </c:pt>
                <c:pt idx="3">
                  <c:v>Federatia Rusa</c:v>
                </c:pt>
                <c:pt idx="4">
                  <c:v>Turcia</c:v>
                </c:pt>
                <c:pt idx="5">
                  <c:v>Polonia</c:v>
                </c:pt>
                <c:pt idx="6">
                  <c:v>Belarus</c:v>
                </c:pt>
                <c:pt idx="7">
                  <c:v>Ucraina</c:v>
                </c:pt>
                <c:pt idx="8">
                  <c:v>Regatul Unit al Marii Britanii si Irlandei de Nord</c:v>
                </c:pt>
                <c:pt idx="9">
                  <c:v>China</c:v>
                </c:pt>
              </c:strCache>
            </c:strRef>
          </c:cat>
          <c:val>
            <c:numRef>
              <c:f>Sheet1!$B$3:$M$3</c:f>
              <c:numCache>
                <c:formatCode>General</c:formatCode>
                <c:ptCount val="12"/>
              </c:numCache>
            </c:numRef>
          </c:val>
          <c:extLst xmlns:c16r2="http://schemas.microsoft.com/office/drawing/2015/06/chart">
            <c:ext xmlns:c16="http://schemas.microsoft.com/office/drawing/2014/chart" uri="{C3380CC4-5D6E-409C-BE32-E72D297353CC}">
              <c16:uniqueId val="{0000000F-4BCD-4CFF-BE4F-7C6161772467}"/>
            </c:ext>
          </c:extLst>
        </c:ser>
        <c:ser>
          <c:idx val="3"/>
          <c:order val="3"/>
          <c:tx>
            <c:strRef>
              <c:f>Sheet1!$A$4</c:f>
              <c:strCache>
                <c:ptCount val="1"/>
                <c:pt idx="0">
                  <c:v>import</c:v>
                </c:pt>
              </c:strCache>
            </c:strRef>
          </c:tx>
          <c:spPr>
            <a:solidFill>
              <a:schemeClr val="accent1">
                <a:tint val="77000"/>
              </a:schemeClr>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10-4BCD-4CFF-BE4F-7C6161772467}"/>
              </c:ext>
            </c:extLst>
          </c:dPt>
          <c:dPt>
            <c:idx val="1"/>
            <c:invertIfNegative val="0"/>
            <c:bubble3D val="0"/>
            <c:extLst xmlns:c16r2="http://schemas.microsoft.com/office/drawing/2015/06/chart">
              <c:ext xmlns:c16="http://schemas.microsoft.com/office/drawing/2014/chart" uri="{C3380CC4-5D6E-409C-BE32-E72D297353CC}">
                <c16:uniqueId val="{00000011-4BCD-4CFF-BE4F-7C6161772467}"/>
              </c:ext>
            </c:extLst>
          </c:dPt>
          <c:dPt>
            <c:idx val="2"/>
            <c:invertIfNegative val="0"/>
            <c:bubble3D val="0"/>
            <c:extLst xmlns:c16r2="http://schemas.microsoft.com/office/drawing/2015/06/chart">
              <c:ext xmlns:c16="http://schemas.microsoft.com/office/drawing/2014/chart" uri="{C3380CC4-5D6E-409C-BE32-E72D297353CC}">
                <c16:uniqueId val="{00000012-4BCD-4CFF-BE4F-7C6161772467}"/>
              </c:ext>
            </c:extLst>
          </c:dPt>
          <c:dPt>
            <c:idx val="7"/>
            <c:invertIfNegative val="0"/>
            <c:bubble3D val="0"/>
            <c:extLst xmlns:c16r2="http://schemas.microsoft.com/office/drawing/2015/06/chart">
              <c:ext xmlns:c16="http://schemas.microsoft.com/office/drawing/2014/chart" uri="{C3380CC4-5D6E-409C-BE32-E72D297353CC}">
                <c16:uniqueId val="{00000015-4BCD-4CFF-BE4F-7C6161772467}"/>
              </c:ext>
            </c:extLst>
          </c:dPt>
          <c:dPt>
            <c:idx val="8"/>
            <c:invertIfNegative val="0"/>
            <c:bubble3D val="0"/>
            <c:extLst xmlns:c16r2="http://schemas.microsoft.com/office/drawing/2015/06/chart">
              <c:ext xmlns:c16="http://schemas.microsoft.com/office/drawing/2014/chart" uri="{C3380CC4-5D6E-409C-BE32-E72D297353CC}">
                <c16:uniqueId val="{00000016-4BCD-4CFF-BE4F-7C6161772467}"/>
              </c:ext>
            </c:extLst>
          </c:dPt>
          <c:cat>
            <c:strRef>
              <c:f>Sheet1!$B$1:$M$1</c:f>
              <c:strCache>
                <c:ptCount val="10"/>
                <c:pt idx="0">
                  <c:v>Romania</c:v>
                </c:pt>
                <c:pt idx="1">
                  <c:v>Italia</c:v>
                </c:pt>
                <c:pt idx="2">
                  <c:v>Germania</c:v>
                </c:pt>
                <c:pt idx="3">
                  <c:v>Federatia Rusa</c:v>
                </c:pt>
                <c:pt idx="4">
                  <c:v>Turcia</c:v>
                </c:pt>
                <c:pt idx="5">
                  <c:v>Polonia</c:v>
                </c:pt>
                <c:pt idx="6">
                  <c:v>Belarus</c:v>
                </c:pt>
                <c:pt idx="7">
                  <c:v>Ucraina</c:v>
                </c:pt>
                <c:pt idx="8">
                  <c:v>Regatul Unit al Marii Britanii si Irlandei de Nord</c:v>
                </c:pt>
                <c:pt idx="9">
                  <c:v>China</c:v>
                </c:pt>
              </c:strCache>
            </c:strRef>
          </c:cat>
          <c:val>
            <c:numRef>
              <c:f>Sheet1!$B$4:$M$4</c:f>
              <c:numCache>
                <c:formatCode>General</c:formatCode>
                <c:ptCount val="12"/>
              </c:numCache>
            </c:numRef>
          </c:val>
          <c:extLst xmlns:c16r2="http://schemas.microsoft.com/office/drawing/2015/06/chart">
            <c:ext xmlns:c16="http://schemas.microsoft.com/office/drawing/2014/chart" uri="{C3380CC4-5D6E-409C-BE32-E72D297353CC}">
              <c16:uniqueId val="{00000017-4BCD-4CFF-BE4F-7C6161772467}"/>
            </c:ext>
          </c:extLst>
        </c:ser>
        <c:ser>
          <c:idx val="4"/>
          <c:order val="4"/>
          <c:tx>
            <c:strRef>
              <c:f>Sheet1!$A$5</c:f>
              <c:strCache>
                <c:ptCount val="1"/>
                <c:pt idx="0">
                  <c:v>ianuarie-decembrie 2018</c:v>
                </c:pt>
              </c:strCache>
            </c:strRef>
          </c:tx>
          <c:spPr>
            <a:solidFill>
              <a:schemeClr val="accent1">
                <a:tint val="54000"/>
              </a:schemeClr>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18-4BCD-4CFF-BE4F-7C6161772467}"/>
              </c:ext>
            </c:extLst>
          </c:dPt>
          <c:dPt>
            <c:idx val="1"/>
            <c:invertIfNegative val="0"/>
            <c:bubble3D val="0"/>
            <c:extLst xmlns:c16r2="http://schemas.microsoft.com/office/drawing/2015/06/chart">
              <c:ext xmlns:c16="http://schemas.microsoft.com/office/drawing/2014/chart" uri="{C3380CC4-5D6E-409C-BE32-E72D297353CC}">
                <c16:uniqueId val="{00000019-4BCD-4CFF-BE4F-7C6161772467}"/>
              </c:ext>
            </c:extLst>
          </c:dPt>
          <c:dPt>
            <c:idx val="2"/>
            <c:invertIfNegative val="0"/>
            <c:bubble3D val="0"/>
            <c:extLst xmlns:c16r2="http://schemas.microsoft.com/office/drawing/2015/06/chart">
              <c:ext xmlns:c16="http://schemas.microsoft.com/office/drawing/2014/chart" uri="{C3380CC4-5D6E-409C-BE32-E72D297353CC}">
                <c16:uniqueId val="{0000001A-4BCD-4CFF-BE4F-7C6161772467}"/>
              </c:ext>
            </c:extLst>
          </c:dPt>
          <c:dPt>
            <c:idx val="3"/>
            <c:invertIfNegative val="0"/>
            <c:bubble3D val="0"/>
            <c:extLst xmlns:c16r2="http://schemas.microsoft.com/office/drawing/2015/06/chart">
              <c:ext xmlns:c16="http://schemas.microsoft.com/office/drawing/2014/chart" uri="{C3380CC4-5D6E-409C-BE32-E72D297353CC}">
                <c16:uniqueId val="{0000001B-4BCD-4CFF-BE4F-7C6161772467}"/>
              </c:ext>
            </c:extLst>
          </c:dPt>
          <c:dPt>
            <c:idx val="7"/>
            <c:invertIfNegative val="0"/>
            <c:bubble3D val="0"/>
            <c:extLst xmlns:c16r2="http://schemas.microsoft.com/office/drawing/2015/06/chart">
              <c:ext xmlns:c16="http://schemas.microsoft.com/office/drawing/2014/chart" uri="{C3380CC4-5D6E-409C-BE32-E72D297353CC}">
                <c16:uniqueId val="{0000001D-4BCD-4CFF-BE4F-7C6161772467}"/>
              </c:ext>
            </c:extLst>
          </c:dPt>
          <c:dPt>
            <c:idx val="8"/>
            <c:invertIfNegative val="0"/>
            <c:bubble3D val="0"/>
            <c:extLst xmlns:c16r2="http://schemas.microsoft.com/office/drawing/2015/06/chart">
              <c:ext xmlns:c16="http://schemas.microsoft.com/office/drawing/2014/chart" uri="{C3380CC4-5D6E-409C-BE32-E72D297353CC}">
                <c16:uniqueId val="{0000001E-4BCD-4CFF-BE4F-7C6161772467}"/>
              </c:ext>
            </c:extLst>
          </c:dPt>
          <c:cat>
            <c:strRef>
              <c:f>Sheet1!$B$1:$M$1</c:f>
              <c:strCache>
                <c:ptCount val="10"/>
                <c:pt idx="0">
                  <c:v>Romania</c:v>
                </c:pt>
                <c:pt idx="1">
                  <c:v>Italia</c:v>
                </c:pt>
                <c:pt idx="2">
                  <c:v>Germania</c:v>
                </c:pt>
                <c:pt idx="3">
                  <c:v>Federatia Rusa</c:v>
                </c:pt>
                <c:pt idx="4">
                  <c:v>Turcia</c:v>
                </c:pt>
                <c:pt idx="5">
                  <c:v>Polonia</c:v>
                </c:pt>
                <c:pt idx="6">
                  <c:v>Belarus</c:v>
                </c:pt>
                <c:pt idx="7">
                  <c:v>Ucraina</c:v>
                </c:pt>
                <c:pt idx="8">
                  <c:v>Regatul Unit al Marii Britanii si Irlandei de Nord</c:v>
                </c:pt>
                <c:pt idx="9">
                  <c:v>China</c:v>
                </c:pt>
              </c:strCache>
            </c:strRef>
          </c:cat>
          <c:val>
            <c:numRef>
              <c:f>Sheet1!$B$5:$M$5</c:f>
              <c:numCache>
                <c:formatCode>0.0</c:formatCode>
                <c:ptCount val="12"/>
                <c:pt idx="0">
                  <c:v>838.24</c:v>
                </c:pt>
                <c:pt idx="1">
                  <c:v>389.47</c:v>
                </c:pt>
                <c:pt idx="2">
                  <c:v>484.1</c:v>
                </c:pt>
                <c:pt idx="3">
                  <c:v>720.84</c:v>
                </c:pt>
                <c:pt idx="4">
                  <c:v>339.99</c:v>
                </c:pt>
                <c:pt idx="5">
                  <c:v>202.68</c:v>
                </c:pt>
                <c:pt idx="6">
                  <c:v>128.05000000000001</c:v>
                </c:pt>
                <c:pt idx="7">
                  <c:v>577.17999999999995</c:v>
                </c:pt>
                <c:pt idx="8">
                  <c:v>59.94</c:v>
                </c:pt>
                <c:pt idx="9">
                  <c:v>600.39</c:v>
                </c:pt>
              </c:numCache>
            </c:numRef>
          </c:val>
          <c:extLst xmlns:c16r2="http://schemas.microsoft.com/office/drawing/2015/06/chart">
            <c:ext xmlns:c16="http://schemas.microsoft.com/office/drawing/2014/chart" uri="{C3380CC4-5D6E-409C-BE32-E72D297353CC}">
              <c16:uniqueId val="{0000001F-4BCD-4CFF-BE4F-7C6161772467}"/>
            </c:ext>
          </c:extLst>
        </c:ser>
        <c:ser>
          <c:idx val="0"/>
          <c:order val="0"/>
          <c:tx>
            <c:strRef>
              <c:f>Sheet1!$A$2</c:f>
              <c:strCache>
                <c:ptCount val="1"/>
                <c:pt idx="0">
                  <c:v>ianuarie-decembrie 2018</c:v>
                </c:pt>
              </c:strCache>
            </c:strRef>
          </c:tx>
          <c:spPr>
            <a:solidFill>
              <a:schemeClr val="accent1">
                <a:shade val="53000"/>
              </a:schemeClr>
            </a:solidFill>
            <a:ln>
              <a:noFill/>
            </a:ln>
            <a:effectLst/>
          </c:spPr>
          <c:invertIfNegative val="0"/>
          <c:dPt>
            <c:idx val="1"/>
            <c:invertIfNegative val="0"/>
            <c:bubble3D val="0"/>
            <c:extLst xmlns:c16r2="http://schemas.microsoft.com/office/drawing/2015/06/chart">
              <c:ext xmlns:c16="http://schemas.microsoft.com/office/drawing/2014/chart" uri="{C3380CC4-5D6E-409C-BE32-E72D297353CC}">
                <c16:uniqueId val="{00000020-4BCD-4CFF-BE4F-7C6161772467}"/>
              </c:ext>
            </c:extLst>
          </c:dPt>
          <c:dPt>
            <c:idx val="2"/>
            <c:invertIfNegative val="0"/>
            <c:bubble3D val="0"/>
            <c:extLst xmlns:c16r2="http://schemas.microsoft.com/office/drawing/2015/06/chart">
              <c:ext xmlns:c16="http://schemas.microsoft.com/office/drawing/2014/chart" uri="{C3380CC4-5D6E-409C-BE32-E72D297353CC}">
                <c16:uniqueId val="{00000021-4BCD-4CFF-BE4F-7C6161772467}"/>
              </c:ext>
            </c:extLst>
          </c:dPt>
          <c:dPt>
            <c:idx val="3"/>
            <c:invertIfNegative val="0"/>
            <c:bubble3D val="0"/>
            <c:extLst xmlns:c16r2="http://schemas.microsoft.com/office/drawing/2015/06/chart">
              <c:ext xmlns:c16="http://schemas.microsoft.com/office/drawing/2014/chart" uri="{C3380CC4-5D6E-409C-BE32-E72D297353CC}">
                <c16:uniqueId val="{00000022-4BCD-4CFF-BE4F-7C6161772467}"/>
              </c:ext>
            </c:extLst>
          </c:dPt>
          <c:dPt>
            <c:idx val="8"/>
            <c:invertIfNegative val="0"/>
            <c:bubble3D val="0"/>
            <c:extLst xmlns:c16r2="http://schemas.microsoft.com/office/drawing/2015/06/chart">
              <c:ext xmlns:c16="http://schemas.microsoft.com/office/drawing/2014/chart" uri="{C3380CC4-5D6E-409C-BE32-E72D297353CC}">
                <c16:uniqueId val="{00000025-4BCD-4CFF-BE4F-7C6161772467}"/>
              </c:ext>
            </c:extLst>
          </c:dPt>
          <c:cat>
            <c:strRef>
              <c:f>Sheet1!$B$1:$M$1</c:f>
              <c:strCache>
                <c:ptCount val="10"/>
                <c:pt idx="0">
                  <c:v>Romania</c:v>
                </c:pt>
                <c:pt idx="1">
                  <c:v>Italia</c:v>
                </c:pt>
                <c:pt idx="2">
                  <c:v>Germania</c:v>
                </c:pt>
                <c:pt idx="3">
                  <c:v>Federatia Rusa</c:v>
                </c:pt>
                <c:pt idx="4">
                  <c:v>Turcia</c:v>
                </c:pt>
                <c:pt idx="5">
                  <c:v>Polonia</c:v>
                </c:pt>
                <c:pt idx="6">
                  <c:v>Belarus</c:v>
                </c:pt>
                <c:pt idx="7">
                  <c:v>Ucraina</c:v>
                </c:pt>
                <c:pt idx="8">
                  <c:v>Regatul Unit al Marii Britanii si Irlandei de Nord</c:v>
                </c:pt>
                <c:pt idx="9">
                  <c:v>China</c:v>
                </c:pt>
              </c:strCache>
            </c:strRef>
          </c:cat>
          <c:val>
            <c:numRef>
              <c:f>Sheet1!$B$2:$M$2</c:f>
              <c:numCache>
                <c:formatCode>0.0</c:formatCode>
                <c:ptCount val="12"/>
                <c:pt idx="0">
                  <c:v>-792.31</c:v>
                </c:pt>
                <c:pt idx="1">
                  <c:v>-309.66000000000003</c:v>
                </c:pt>
                <c:pt idx="2">
                  <c:v>-219.9</c:v>
                </c:pt>
                <c:pt idx="3">
                  <c:v>-218.62</c:v>
                </c:pt>
                <c:pt idx="4">
                  <c:v>-106.28</c:v>
                </c:pt>
                <c:pt idx="5">
                  <c:v>-98.1</c:v>
                </c:pt>
                <c:pt idx="6">
                  <c:v>-87.23</c:v>
                </c:pt>
                <c:pt idx="7">
                  <c:v>-80.3</c:v>
                </c:pt>
                <c:pt idx="8">
                  <c:v>-78.819999999999993</c:v>
                </c:pt>
                <c:pt idx="9">
                  <c:v>-18.82</c:v>
                </c:pt>
              </c:numCache>
            </c:numRef>
          </c:val>
          <c:extLst xmlns:c16r2="http://schemas.microsoft.com/office/drawing/2015/06/chart">
            <c:ext xmlns:c16="http://schemas.microsoft.com/office/drawing/2014/chart" uri="{C3380CC4-5D6E-409C-BE32-E72D297353CC}">
              <c16:uniqueId val="{00000026-4BCD-4CFF-BE4F-7C6161772467}"/>
            </c:ext>
          </c:extLst>
        </c:ser>
        <c:dLbls>
          <c:showLegendKey val="0"/>
          <c:showVal val="0"/>
          <c:showCatName val="0"/>
          <c:showSerName val="0"/>
          <c:showPercent val="0"/>
          <c:showBubbleSize val="0"/>
        </c:dLbls>
        <c:gapWidth val="0"/>
        <c:overlap val="81"/>
        <c:axId val="665750320"/>
        <c:axId val="665776192"/>
      </c:barChart>
      <c:valAx>
        <c:axId val="665776192"/>
        <c:scaling>
          <c:orientation val="minMax"/>
          <c:max val="800"/>
          <c:min val="-850"/>
        </c:scaling>
        <c:delete val="0"/>
        <c:axPos val="b"/>
        <c:majorGridlines>
          <c:spPr>
            <a:ln w="9525" cap="flat" cmpd="sng" algn="ctr">
              <a:solidFill>
                <a:schemeClr val="tx2">
                  <a:lumMod val="15000"/>
                  <a:lumOff val="85000"/>
                </a:schemeClr>
              </a:solidFill>
              <a:prstDash val="solid"/>
              <a:round/>
            </a:ln>
            <a:effectLst/>
          </c:spPr>
        </c:majorGridlines>
        <c:title>
          <c:tx>
            <c:rich>
              <a:bodyPr rot="0" spcFirstLastPara="1" vertOverflow="ellipsis" vert="horz" wrap="square" anchor="ctr" anchorCtr="1"/>
              <a:lstStyle/>
              <a:p>
                <a:pPr>
                  <a:defRPr sz="800" b="1" i="0" u="none" strike="noStrike" kern="1200" baseline="0">
                    <a:solidFill>
                      <a:schemeClr val="tx2"/>
                    </a:solidFill>
                    <a:latin typeface="+mn-lt"/>
                    <a:ea typeface="+mn-ea"/>
                    <a:cs typeface="+mn-cs"/>
                  </a:defRPr>
                </a:pPr>
                <a:r>
                  <a:rPr lang="ro-RO" sz="800"/>
                  <a:t>Importul</a:t>
                </a:r>
                <a:r>
                  <a:rPr lang="ro-RO" sz="800" baseline="0"/>
                  <a:t> de bunuri</a:t>
                </a:r>
                <a:endParaRPr lang="en-US" sz="800"/>
              </a:p>
            </c:rich>
          </c:tx>
          <c:layout>
            <c:manualLayout>
              <c:xMode val="edge"/>
              <c:yMode val="edge"/>
              <c:x val="0.62529270797672021"/>
              <c:y val="2.6105232939632541E-2"/>
            </c:manualLayout>
          </c:layout>
          <c:overlay val="0"/>
          <c:spPr>
            <a:noFill/>
            <a:ln>
              <a:noFill/>
            </a:ln>
            <a:effectLst/>
          </c:spPr>
        </c:title>
        <c:numFmt formatCode="0;0" sourceLinked="0"/>
        <c:majorTickMark val="none"/>
        <c:minorTickMark val="none"/>
        <c:tickLblPos val="low"/>
        <c:spPr>
          <a:noFill/>
          <a:ln w="6350" cap="flat" cmpd="sng" algn="ctr">
            <a:noFill/>
            <a:prstDash val="solid"/>
            <a:round/>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665750320"/>
        <c:crosses val="autoZero"/>
        <c:crossBetween val="between"/>
        <c:majorUnit val="200"/>
        <c:minorUnit val="50"/>
      </c:valAx>
      <c:catAx>
        <c:axId val="665750320"/>
        <c:scaling>
          <c:orientation val="minMax"/>
        </c:scaling>
        <c:delete val="0"/>
        <c:axPos val="l"/>
        <c:title>
          <c:tx>
            <c:rich>
              <a:bodyPr rot="0" spcFirstLastPara="1" vertOverflow="ellipsis" wrap="square" anchor="ctr" anchorCtr="1"/>
              <a:lstStyle/>
              <a:p>
                <a:pPr>
                  <a:defRPr sz="800" b="1" i="0" u="none" strike="noStrike" kern="1200" baseline="0">
                    <a:solidFill>
                      <a:schemeClr val="tx2"/>
                    </a:solidFill>
                    <a:latin typeface="+mn-lt"/>
                    <a:ea typeface="+mn-ea"/>
                    <a:cs typeface="+mn-cs"/>
                  </a:defRPr>
                </a:pPr>
                <a:r>
                  <a:rPr lang="ro-RO" sz="800"/>
                  <a:t>Exportul</a:t>
                </a:r>
                <a:r>
                  <a:rPr lang="ro-RO" sz="800" baseline="0"/>
                  <a:t> de bunuri </a:t>
                </a:r>
                <a:endParaRPr lang="en-US" sz="800"/>
              </a:p>
            </c:rich>
          </c:tx>
          <c:layout>
            <c:manualLayout>
              <c:xMode val="edge"/>
              <c:yMode val="edge"/>
              <c:x val="0.31560300154788345"/>
              <c:y val="1.9234436515748032E-2"/>
            </c:manualLayout>
          </c:layout>
          <c:overlay val="0"/>
          <c:spPr>
            <a:noFill/>
            <a:ln>
              <a:noFill/>
            </a:ln>
            <a:effectLst/>
          </c:spPr>
        </c:title>
        <c:numFmt formatCode="General" sourceLinked="1"/>
        <c:majorTickMark val="none"/>
        <c:minorTickMark val="none"/>
        <c:tickLblPos val="low"/>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665776192"/>
        <c:crossesAt val="0"/>
        <c:auto val="1"/>
        <c:lblAlgn val="ctr"/>
        <c:lblOffset val="100"/>
        <c:noMultiLvlLbl val="0"/>
      </c:catAx>
      <c:spPr>
        <a:noFill/>
        <a:ln>
          <a:noFill/>
        </a:ln>
        <a:effectLst/>
      </c:spPr>
    </c:plotArea>
    <c:plotVisOnly val="1"/>
    <c:dispBlanksAs val="zero"/>
    <c:showDLblsOverMax val="0"/>
  </c:chart>
  <c:spPr>
    <a:solidFill>
      <a:schemeClr val="bg1"/>
    </a:solidFill>
    <a:ln w="9525" cap="flat" cmpd="sng" algn="ctr">
      <a:noFill/>
      <a:prstDash val="solid"/>
      <a:round/>
    </a:ln>
    <a:effectLst/>
  </c:spPr>
  <c:txPr>
    <a:bodyPr/>
    <a:lstStyle/>
    <a:p>
      <a:pPr>
        <a:defRPr/>
      </a:pPr>
      <a:endParaRPr lang="en-US"/>
    </a:p>
  </c:txPr>
  <c:externalData r:id="rId2">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0062093886615822E-2"/>
          <c:y val="2.0358553311677161E-2"/>
          <c:w val="0.94514106583072099"/>
          <c:h val="0.70890410958904104"/>
        </c:manualLayout>
      </c:layout>
      <c:barChart>
        <c:barDir val="col"/>
        <c:grouping val="stacked"/>
        <c:varyColors val="0"/>
        <c:ser>
          <c:idx val="1"/>
          <c:order val="0"/>
          <c:tx>
            <c:strRef>
              <c:f>Sheet1!$A$2</c:f>
              <c:strCache>
                <c:ptCount val="1"/>
                <c:pt idx="0">
                  <c:v>Ţările UE</c:v>
                </c:pt>
              </c:strCache>
            </c:strRef>
          </c:tx>
          <c:spPr>
            <a:solidFill>
              <a:schemeClr val="accent1">
                <a:shade val="86000"/>
              </a:schemeClr>
            </a:solidFill>
            <a:ln>
              <a:noFill/>
            </a:ln>
            <a:effectLst>
              <a:glow>
                <a:srgbClr val="5B9BD5">
                  <a:alpha val="40000"/>
                </a:srgbClr>
              </a:glow>
              <a:outerShdw blurRad="50800" dist="50800" dir="5400000" sx="1000" sy="1000" algn="ctr" rotWithShape="0">
                <a:srgbClr val="000000">
                  <a:alpha val="43137"/>
                </a:srgbClr>
              </a:outerShdw>
              <a:softEdge rad="0"/>
            </a:effectLst>
          </c:spPr>
          <c:invertIfNegative val="0"/>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Sheet1!$B$2:$I$2</c:f>
              <c:numCache>
                <c:formatCode>0.0</c:formatCode>
                <c:ptCount val="8"/>
                <c:pt idx="0">
                  <c:v>22.971132014271813</c:v>
                </c:pt>
                <c:pt idx="1">
                  <c:v>-3.1396607722843743</c:v>
                </c:pt>
                <c:pt idx="2">
                  <c:v>5.7310698922244416</c:v>
                </c:pt>
                <c:pt idx="3">
                  <c:v>4.47638265453197</c:v>
                </c:pt>
                <c:pt idx="4">
                  <c:v>-1.2139346014105616</c:v>
                </c:pt>
                <c:pt idx="5">
                  <c:v>5.8165548098434057</c:v>
                </c:pt>
                <c:pt idx="6">
                  <c:v>12.956079428739134</c:v>
                </c:pt>
                <c:pt idx="7">
                  <c:v>10.940206185567</c:v>
                </c:pt>
              </c:numCache>
            </c:numRef>
          </c:val>
          <c:extLst xmlns:c16r2="http://schemas.microsoft.com/office/drawing/2015/06/chart">
            <c:ext xmlns:c16="http://schemas.microsoft.com/office/drawing/2014/chart" uri="{C3380CC4-5D6E-409C-BE32-E72D297353CC}">
              <c16:uniqueId val="{00000000-711C-4DA0-9D76-3DD2852C0196}"/>
            </c:ext>
          </c:extLst>
        </c:ser>
        <c:ser>
          <c:idx val="2"/>
          <c:order val="1"/>
          <c:tx>
            <c:strRef>
              <c:f>Sheet1!$A$3</c:f>
              <c:strCache>
                <c:ptCount val="1"/>
                <c:pt idx="0">
                  <c:v>Ţările CSI</c:v>
                </c:pt>
              </c:strCache>
            </c:strRef>
          </c:tx>
          <c:spPr>
            <a:solidFill>
              <a:schemeClr val="accent1">
                <a:tint val="86000"/>
              </a:schemeClr>
            </a:solidFill>
            <a:ln>
              <a:noFill/>
            </a:ln>
            <a:effectLst/>
          </c:spPr>
          <c:invertIfNegative val="0"/>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Sheet1!$B$3:$I$3</c:f>
              <c:numCache>
                <c:formatCode>0.0</c:formatCode>
                <c:ptCount val="8"/>
                <c:pt idx="0">
                  <c:v>19.156665585468708</c:v>
                </c:pt>
                <c:pt idx="1">
                  <c:v>0.39696860339227508</c:v>
                </c:pt>
                <c:pt idx="2">
                  <c:v>-0.22665248161339457</c:v>
                </c:pt>
                <c:pt idx="3">
                  <c:v>-7.7255693283367028</c:v>
                </c:pt>
                <c:pt idx="4">
                  <c:v>-10.399658046591151</c:v>
                </c:pt>
                <c:pt idx="5">
                  <c:v>-3.9760016270083378</c:v>
                </c:pt>
                <c:pt idx="6">
                  <c:v>2.3769930548762606</c:v>
                </c:pt>
                <c:pt idx="7">
                  <c:v>-1.9298969072164953</c:v>
                </c:pt>
              </c:numCache>
            </c:numRef>
          </c:val>
          <c:extLst xmlns:c16r2="http://schemas.microsoft.com/office/drawing/2015/06/chart">
            <c:ext xmlns:c16="http://schemas.microsoft.com/office/drawing/2014/chart" uri="{C3380CC4-5D6E-409C-BE32-E72D297353CC}">
              <c16:uniqueId val="{00000001-711C-4DA0-9D76-3DD2852C0196}"/>
            </c:ext>
          </c:extLst>
        </c:ser>
        <c:ser>
          <c:idx val="3"/>
          <c:order val="2"/>
          <c:tx>
            <c:strRef>
              <c:f>Sheet1!$A$4</c:f>
              <c:strCache>
                <c:ptCount val="1"/>
                <c:pt idx="0">
                  <c:v>Alte ţări</c:v>
                </c:pt>
              </c:strCache>
            </c:strRef>
          </c:tx>
          <c:spPr>
            <a:solidFill>
              <a:schemeClr val="accent1">
                <a:tint val="58000"/>
              </a:schemeClr>
            </a:solidFill>
            <a:ln>
              <a:noFill/>
            </a:ln>
            <a:effectLst/>
          </c:spPr>
          <c:invertIfNegative val="0"/>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Sheet1!$B$4:$I$4</c:f>
              <c:numCache>
                <c:formatCode>0.0</c:formatCode>
                <c:ptCount val="8"/>
                <c:pt idx="0">
                  <c:v>1.6801816412585169</c:v>
                </c:pt>
                <c:pt idx="1">
                  <c:v>0.26163839769036623</c:v>
                </c:pt>
                <c:pt idx="2">
                  <c:v>6.8227022526481349</c:v>
                </c:pt>
                <c:pt idx="3">
                  <c:v>-0.40769262446979981</c:v>
                </c:pt>
                <c:pt idx="4">
                  <c:v>-4.3171617867065564</c:v>
                </c:pt>
                <c:pt idx="5">
                  <c:v>2.1151108399430529</c:v>
                </c:pt>
                <c:pt idx="6">
                  <c:v>3.2720336496136158</c:v>
                </c:pt>
                <c:pt idx="7">
                  <c:v>2.6144329896907186</c:v>
                </c:pt>
              </c:numCache>
            </c:numRef>
          </c:val>
          <c:extLst xmlns:c16r2="http://schemas.microsoft.com/office/drawing/2015/06/chart">
            <c:ext xmlns:c16="http://schemas.microsoft.com/office/drawing/2014/chart" uri="{C3380CC4-5D6E-409C-BE32-E72D297353CC}">
              <c16:uniqueId val="{00000002-711C-4DA0-9D76-3DD2852C0196}"/>
            </c:ext>
          </c:extLst>
        </c:ser>
        <c:dLbls>
          <c:showLegendKey val="0"/>
          <c:showVal val="0"/>
          <c:showCatName val="0"/>
          <c:showSerName val="0"/>
          <c:showPercent val="0"/>
          <c:showBubbleSize val="0"/>
        </c:dLbls>
        <c:gapWidth val="150"/>
        <c:overlap val="100"/>
        <c:axId val="665756984"/>
        <c:axId val="665749536"/>
      </c:barChart>
      <c:lineChart>
        <c:grouping val="stacked"/>
        <c:varyColors val="0"/>
        <c:ser>
          <c:idx val="0"/>
          <c:order val="3"/>
          <c:tx>
            <c:strRef>
              <c:f>Sheet1!$A$5</c:f>
              <c:strCache>
                <c:ptCount val="1"/>
                <c:pt idx="0">
                  <c:v>Exporturile</c:v>
                </c:pt>
              </c:strCache>
            </c:strRef>
          </c:tx>
          <c:spPr>
            <a:ln w="19050" cap="rnd" cmpd="sng" algn="ctr">
              <a:solidFill>
                <a:schemeClr val="accent1">
                  <a:shade val="58000"/>
                </a:schemeClr>
              </a:solidFill>
              <a:prstDash val="solid"/>
              <a:round/>
            </a:ln>
            <a:effectLst/>
          </c:spPr>
          <c:marker>
            <c:spPr>
              <a:solidFill>
                <a:schemeClr val="accent1">
                  <a:shade val="58000"/>
                </a:schemeClr>
              </a:solidFill>
              <a:ln w="6350" cap="flat" cmpd="sng" algn="ctr">
                <a:solidFill>
                  <a:schemeClr val="accent1">
                    <a:shade val="58000"/>
                  </a:schemeClr>
                </a:solidFill>
                <a:prstDash val="solid"/>
                <a:round/>
              </a:ln>
              <a:effectLst/>
            </c:spPr>
          </c:marker>
          <c:dLbls>
            <c:dLbl>
              <c:idx val="1"/>
              <c:layout>
                <c:manualLayout>
                  <c:x val="-5.3908355795148251E-2"/>
                  <c:y val="-4.88888888888889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11C-4DA0-9D76-3DD2852C0196}"/>
                </c:ext>
                <c:ext xmlns:c15="http://schemas.microsoft.com/office/drawing/2012/chart" uri="{CE6537A1-D6FC-4f65-9D91-7224C49458BB}"/>
              </c:extLst>
            </c:dLbl>
            <c:dLbl>
              <c:idx val="2"/>
              <c:layout>
                <c:manualLayout>
                  <c:x val="-6.7385444743935347E-2"/>
                  <c:y val="-0.0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11C-4DA0-9D76-3DD2852C0196}"/>
                </c:ext>
                <c:ext xmlns:c15="http://schemas.microsoft.com/office/drawing/2012/chart" uri="{CE6537A1-D6FC-4f65-9D91-7224C49458BB}"/>
              </c:extLst>
            </c:dLbl>
            <c:dLbl>
              <c:idx val="3"/>
              <c:layout>
                <c:manualLayout>
                  <c:x val="-6.2893081761006372E-2"/>
                  <c:y val="-8.4444444444444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D6A-4F7A-9403-54908FC3636B}"/>
                </c:ext>
                <c:ext xmlns:c15="http://schemas.microsoft.com/office/drawing/2012/chart" uri="{CE6537A1-D6FC-4f65-9D91-7224C49458BB}"/>
              </c:extLst>
            </c:dLbl>
            <c:dLbl>
              <c:idx val="4"/>
              <c:layout>
                <c:manualLayout>
                  <c:x val="-3.5938903863432251E-2"/>
                  <c:y val="2.22222222222222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11C-4DA0-9D76-3DD2852C0196}"/>
                </c:ext>
                <c:ext xmlns:c15="http://schemas.microsoft.com/office/drawing/2012/chart" uri="{CE6537A1-D6FC-4f65-9D91-7224C49458BB}"/>
              </c:extLst>
            </c:dLbl>
            <c:dLbl>
              <c:idx val="5"/>
              <c:layout>
                <c:manualLayout>
                  <c:x val="-3.5938903863432251E-2"/>
                  <c:y val="3.11111111111111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D6A-4F7A-9403-54908FC3636B}"/>
                </c:ext>
                <c:ext xmlns:c15="http://schemas.microsoft.com/office/drawing/2012/chart" uri="{CE6537A1-D6FC-4f65-9D91-7224C49458BB}"/>
              </c:extLst>
            </c:dLbl>
            <c:dLbl>
              <c:idx val="6"/>
              <c:layout>
                <c:manualLayout>
                  <c:x val="-9.8831985624438456E-2"/>
                  <c:y val="-3.555555555555555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11C-4DA0-9D76-3DD2852C0196}"/>
                </c:ext>
                <c:ext xmlns:c15="http://schemas.microsoft.com/office/drawing/2012/chart" uri="{CE6537A1-D6FC-4f65-9D91-7224C49458BB}"/>
              </c:extLst>
            </c:dLbl>
            <c:dLbl>
              <c:idx val="7"/>
              <c:layout>
                <c:manualLayout>
                  <c:x val="-1.7969451931716084E-2"/>
                  <c:y val="-0.0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11C-4DA0-9D76-3DD2852C019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000000"/>
                    </a:solidFill>
                    <a:latin typeface="+mn-lt"/>
                    <a:ea typeface="Arial Cyr"/>
                    <a:cs typeface="Arial Cy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Sheet1!$B$5:$I$5</c:f>
              <c:numCache>
                <c:formatCode>0.0</c:formatCode>
                <c:ptCount val="8"/>
                <c:pt idx="0">
                  <c:v>43.80797924099906</c:v>
                </c:pt>
                <c:pt idx="1">
                  <c:v>-2.4765427643450058</c:v>
                </c:pt>
                <c:pt idx="2">
                  <c:v>12.3224941024099</c:v>
                </c:pt>
                <c:pt idx="3">
                  <c:v>-3.656879298274502</c:v>
                </c:pt>
                <c:pt idx="4">
                  <c:v>-15.930754434708273</c:v>
                </c:pt>
                <c:pt idx="5">
                  <c:v>3.955664022778103</c:v>
                </c:pt>
                <c:pt idx="6">
                  <c:v>18.605106133229011</c:v>
                </c:pt>
                <c:pt idx="7">
                  <c:v>11.62474226804124</c:v>
                </c:pt>
              </c:numCache>
            </c:numRef>
          </c:val>
          <c:smooth val="1"/>
          <c:extLst xmlns:c16r2="http://schemas.microsoft.com/office/drawing/2015/06/chart">
            <c:ext xmlns:c16="http://schemas.microsoft.com/office/drawing/2014/chart" uri="{C3380CC4-5D6E-409C-BE32-E72D297353CC}">
              <c16:uniqueId val="{00000008-711C-4DA0-9D76-3DD2852C0196}"/>
            </c:ext>
          </c:extLst>
        </c:ser>
        <c:dLbls>
          <c:showLegendKey val="0"/>
          <c:showVal val="0"/>
          <c:showCatName val="0"/>
          <c:showSerName val="0"/>
          <c:showPercent val="0"/>
          <c:showBubbleSize val="0"/>
        </c:dLbls>
        <c:marker val="1"/>
        <c:smooth val="0"/>
        <c:axId val="665756984"/>
        <c:axId val="665749536"/>
      </c:lineChart>
      <c:catAx>
        <c:axId val="665756984"/>
        <c:scaling>
          <c:orientation val="minMax"/>
        </c:scaling>
        <c:delete val="0"/>
        <c:axPos val="b"/>
        <c:numFmt formatCode="General" sourceLinked="1"/>
        <c:majorTickMark val="out"/>
        <c:minorTickMark val="none"/>
        <c:tickLblPos val="low"/>
        <c:spPr>
          <a:noFill/>
          <a:ln w="3175" cap="flat" cmpd="sng" algn="ctr">
            <a:solidFill>
              <a:srgbClr val="000000"/>
            </a:solidFill>
            <a:prstDash val="solid"/>
            <a:round/>
          </a:ln>
          <a:effectLst/>
        </c:spPr>
        <c:txPr>
          <a:bodyPr rot="0" spcFirstLastPara="1" vertOverflow="ellipsis" wrap="square" anchor="ctr" anchorCtr="1"/>
          <a:lstStyle/>
          <a:p>
            <a:pPr>
              <a:defRPr sz="800" b="0" i="0" u="none" strike="noStrike" kern="1200" baseline="0">
                <a:solidFill>
                  <a:srgbClr val="000000"/>
                </a:solidFill>
                <a:latin typeface="+mn-lt"/>
                <a:ea typeface="Arial Cyr"/>
                <a:cs typeface="Arial Cyr"/>
              </a:defRPr>
            </a:pPr>
            <a:endParaRPr lang="en-US"/>
          </a:p>
        </c:txPr>
        <c:crossAx val="665749536"/>
        <c:crosses val="autoZero"/>
        <c:auto val="1"/>
        <c:lblAlgn val="ctr"/>
        <c:lblOffset val="100"/>
        <c:noMultiLvlLbl val="0"/>
      </c:catAx>
      <c:valAx>
        <c:axId val="665749536"/>
        <c:scaling>
          <c:orientation val="minMax"/>
          <c:max val="65"/>
          <c:min val="-19"/>
        </c:scaling>
        <c:delete val="0"/>
        <c:axPos val="l"/>
        <c:majorGridlines>
          <c:spPr>
            <a:ln w="12700" cap="flat" cmpd="sng" algn="ctr">
              <a:solidFill>
                <a:srgbClr val="FFFFFF"/>
              </a:solidFill>
              <a:prstDash val="solid"/>
              <a:round/>
            </a:ln>
            <a:effectLst/>
          </c:spPr>
        </c:majorGridlines>
        <c:numFmt formatCode="0" sourceLinked="0"/>
        <c:majorTickMark val="out"/>
        <c:minorTickMark val="none"/>
        <c:tickLblPos val="nextTo"/>
        <c:spPr>
          <a:noFill/>
          <a:ln w="3175" cap="flat" cmpd="sng" algn="ctr">
            <a:solidFill>
              <a:srgbClr val="000000"/>
            </a:solidFill>
            <a:prstDash val="solid"/>
            <a:round/>
          </a:ln>
          <a:effectLst/>
        </c:spPr>
        <c:txPr>
          <a:bodyPr rot="0" spcFirstLastPara="1" vertOverflow="ellipsis" wrap="square" anchor="ctr" anchorCtr="1"/>
          <a:lstStyle/>
          <a:p>
            <a:pPr>
              <a:defRPr sz="800" b="0" i="0" u="none" strike="noStrike" kern="1200" baseline="0">
                <a:solidFill>
                  <a:srgbClr val="000000"/>
                </a:solidFill>
                <a:latin typeface="+mn-lt"/>
                <a:ea typeface="Arial Cyr"/>
                <a:cs typeface="Arial Cyr"/>
              </a:defRPr>
            </a:pPr>
            <a:endParaRPr lang="en-US"/>
          </a:p>
        </c:txPr>
        <c:crossAx val="665756984"/>
        <c:crosses val="autoZero"/>
        <c:crossBetween val="between"/>
        <c:majorUnit val="10"/>
        <c:minorUnit val="5"/>
      </c:valAx>
      <c:spPr>
        <a:noFill/>
        <a:ln w="25400">
          <a:noFill/>
        </a:ln>
        <a:effectLst/>
      </c:spPr>
    </c:plotArea>
    <c:legend>
      <c:legendPos val="b"/>
      <c:layout>
        <c:manualLayout>
          <c:xMode val="edge"/>
          <c:yMode val="edge"/>
          <c:x val="0.19100341244160748"/>
          <c:y val="0.821474365704287"/>
          <c:w val="0.67216320084814085"/>
          <c:h val="0.17489448818897635"/>
        </c:manualLayout>
      </c:layout>
      <c:overlay val="0"/>
      <c:spPr>
        <a:noFill/>
        <a:ln w="3175">
          <a:noFill/>
          <a:prstDash val="solid"/>
        </a:ln>
        <a:effectLst>
          <a:glow rad="368300">
            <a:srgbClr val="5B9BD5">
              <a:alpha val="40000"/>
            </a:srgbClr>
          </a:glow>
        </a:effectLst>
      </c:spPr>
      <c:txPr>
        <a:bodyPr rot="0" spcFirstLastPara="1" vertOverflow="ellipsis" vert="horz" wrap="square" anchor="ctr" anchorCtr="1"/>
        <a:lstStyle/>
        <a:p>
          <a:pPr>
            <a:defRPr sz="800" b="0" i="0" u="none" strike="noStrike" kern="1200" baseline="0">
              <a:solidFill>
                <a:srgbClr val="000000"/>
              </a:solidFill>
              <a:latin typeface="+mn-lt"/>
              <a:ea typeface="Arial Cyr"/>
              <a:cs typeface="Arial Cyr"/>
            </a:defRPr>
          </a:pPr>
          <a:endParaRPr lang="en-US"/>
        </a:p>
      </c:txPr>
    </c:legend>
    <c:plotVisOnly val="1"/>
    <c:dispBlanksAs val="gap"/>
    <c:showDLblsOverMax val="0"/>
  </c:chart>
  <c:spPr>
    <a:noFill/>
    <a:ln w="6350" cap="flat" cmpd="sng" algn="ctr">
      <a:noFill/>
      <a:prstDash val="solid"/>
      <a:round/>
    </a:ln>
    <a:effectLst/>
  </c:spPr>
  <c:txPr>
    <a:bodyPr/>
    <a:lstStyle/>
    <a:p>
      <a:pPr>
        <a:defRPr sz="800" b="1" i="0" u="none" strike="noStrike" baseline="0">
          <a:solidFill>
            <a:srgbClr val="000000"/>
          </a:solidFill>
          <a:latin typeface="Arial Cyr"/>
          <a:ea typeface="Arial Cyr"/>
          <a:cs typeface="Arial Cyr"/>
        </a:defRPr>
      </a:pPr>
      <a:endParaRPr lang="en-US"/>
    </a:p>
  </c:txPr>
  <c:externalData r:id="rId2">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93200564119128"/>
          <c:y val="4.3650793650793648E-2"/>
          <c:w val="0.80207749754212798"/>
          <c:h val="0.73232221192034641"/>
        </c:manualLayout>
      </c:layout>
      <c:barChart>
        <c:barDir val="bar"/>
        <c:grouping val="percentStacked"/>
        <c:varyColors val="0"/>
        <c:ser>
          <c:idx val="0"/>
          <c:order val="0"/>
          <c:tx>
            <c:strRef>
              <c:f>Sheet1!$B$1</c:f>
              <c:strCache>
                <c:ptCount val="1"/>
                <c:pt idx="0">
                  <c:v>UE</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Sheet1!$A$2:$A$9</c:f>
              <c:numCache>
                <c:formatCode>General</c:formatCode>
                <c:ptCount val="8"/>
                <c:pt idx="0">
                  <c:v>2011</c:v>
                </c:pt>
                <c:pt idx="1">
                  <c:v>2012</c:v>
                </c:pt>
                <c:pt idx="2">
                  <c:v>2013</c:v>
                </c:pt>
                <c:pt idx="3">
                  <c:v>2014</c:v>
                </c:pt>
                <c:pt idx="4">
                  <c:v>2015</c:v>
                </c:pt>
                <c:pt idx="5">
                  <c:v>2016</c:v>
                </c:pt>
                <c:pt idx="6">
                  <c:v>2017</c:v>
                </c:pt>
                <c:pt idx="7">
                  <c:v>2018</c:v>
                </c:pt>
              </c:numCache>
            </c:numRef>
          </c:cat>
          <c:val>
            <c:numRef>
              <c:f>Sheet1!$B$2:$B$9</c:f>
              <c:numCache>
                <c:formatCode>0.0</c:formatCode>
                <c:ptCount val="8"/>
                <c:pt idx="0">
                  <c:v>48.854204258390467</c:v>
                </c:pt>
                <c:pt idx="1">
                  <c:v>46.875433646329618</c:v>
                </c:pt>
                <c:pt idx="2">
                  <c:v>46.835234526211764</c:v>
                </c:pt>
                <c:pt idx="3">
                  <c:v>53.259243428082925</c:v>
                </c:pt>
                <c:pt idx="4">
                  <c:v>61.90766727679479</c:v>
                </c:pt>
                <c:pt idx="5">
                  <c:v>65.14721705957156</c:v>
                </c:pt>
                <c:pt idx="6">
                  <c:v>65.851546391752592</c:v>
                </c:pt>
                <c:pt idx="7">
                  <c:v>68.794562045143891</c:v>
                </c:pt>
              </c:numCache>
            </c:numRef>
          </c:val>
          <c:extLst xmlns:c16r2="http://schemas.microsoft.com/office/drawing/2015/06/chart">
            <c:ext xmlns:c16="http://schemas.microsoft.com/office/drawing/2014/chart" uri="{C3380CC4-5D6E-409C-BE32-E72D297353CC}">
              <c16:uniqueId val="{00000000-369A-4AD1-94C2-D4BE78555DE2}"/>
            </c:ext>
          </c:extLst>
        </c:ser>
        <c:ser>
          <c:idx val="1"/>
          <c:order val="1"/>
          <c:tx>
            <c:strRef>
              <c:f>Sheet1!$C$1</c:f>
              <c:strCache>
                <c:ptCount val="1"/>
                <c:pt idx="0">
                  <c:v>CSI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Sheet1!$A$2:$A$9</c:f>
              <c:numCache>
                <c:formatCode>General</c:formatCode>
                <c:ptCount val="8"/>
                <c:pt idx="0">
                  <c:v>2011</c:v>
                </c:pt>
                <c:pt idx="1">
                  <c:v>2012</c:v>
                </c:pt>
                <c:pt idx="2">
                  <c:v>2013</c:v>
                </c:pt>
                <c:pt idx="3">
                  <c:v>2014</c:v>
                </c:pt>
                <c:pt idx="4">
                  <c:v>2015</c:v>
                </c:pt>
                <c:pt idx="5">
                  <c:v>2016</c:v>
                </c:pt>
                <c:pt idx="6">
                  <c:v>2017</c:v>
                </c:pt>
                <c:pt idx="7">
                  <c:v>2018</c:v>
                </c:pt>
              </c:numCache>
            </c:numRef>
          </c:cat>
          <c:val>
            <c:numRef>
              <c:f>Sheet1!$C$2:$C$9</c:f>
              <c:numCache>
                <c:formatCode>0.0</c:formatCode>
                <c:ptCount val="8"/>
                <c:pt idx="0">
                  <c:v>41.46968603392277</c:v>
                </c:pt>
                <c:pt idx="1">
                  <c:v>42.929830241916832</c:v>
                </c:pt>
                <c:pt idx="2">
                  <c:v>38.018366758637733</c:v>
                </c:pt>
                <c:pt idx="3">
                  <c:v>31.442615943577685</c:v>
                </c:pt>
                <c:pt idx="4">
                  <c:v>25.030506406345332</c:v>
                </c:pt>
                <c:pt idx="5">
                  <c:v>20.253350288565002</c:v>
                </c:pt>
                <c:pt idx="6">
                  <c:v>19.08041237113402</c:v>
                </c:pt>
                <c:pt idx="7">
                  <c:v>15.36443902619232</c:v>
                </c:pt>
              </c:numCache>
            </c:numRef>
          </c:val>
          <c:extLst xmlns:c16r2="http://schemas.microsoft.com/office/drawing/2015/06/chart">
            <c:ext xmlns:c16="http://schemas.microsoft.com/office/drawing/2014/chart" uri="{C3380CC4-5D6E-409C-BE32-E72D297353CC}">
              <c16:uniqueId val="{00000001-369A-4AD1-94C2-D4BE78555DE2}"/>
            </c:ext>
          </c:extLst>
        </c:ser>
        <c:ser>
          <c:idx val="2"/>
          <c:order val="2"/>
          <c:tx>
            <c:strRef>
              <c:f>Sheet1!$D$1</c:f>
              <c:strCache>
                <c:ptCount val="1"/>
                <c:pt idx="0">
                  <c:v>alte țări</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Sheet1!$A$2:$A$9</c:f>
              <c:numCache>
                <c:formatCode>General</c:formatCode>
                <c:ptCount val="8"/>
                <c:pt idx="0">
                  <c:v>2011</c:v>
                </c:pt>
                <c:pt idx="1">
                  <c:v>2012</c:v>
                </c:pt>
                <c:pt idx="2">
                  <c:v>2013</c:v>
                </c:pt>
                <c:pt idx="3">
                  <c:v>2014</c:v>
                </c:pt>
                <c:pt idx="4">
                  <c:v>2015</c:v>
                </c:pt>
                <c:pt idx="5">
                  <c:v>2016</c:v>
                </c:pt>
                <c:pt idx="6">
                  <c:v>2017</c:v>
                </c:pt>
                <c:pt idx="7">
                  <c:v>2018</c:v>
                </c:pt>
              </c:numCache>
            </c:numRef>
          </c:cat>
          <c:val>
            <c:numRef>
              <c:f>Sheet1!$D$2:$D$9</c:f>
              <c:numCache>
                <c:formatCode>0.0</c:formatCode>
                <c:ptCount val="8"/>
                <c:pt idx="0">
                  <c:v>9.6761097076867539</c:v>
                </c:pt>
                <c:pt idx="1">
                  <c:v>10.190110550904299</c:v>
                </c:pt>
                <c:pt idx="2">
                  <c:v>15.146398715150521</c:v>
                </c:pt>
                <c:pt idx="3">
                  <c:v>15.298140628339386</c:v>
                </c:pt>
                <c:pt idx="4">
                  <c:v>13.061826316859877</c:v>
                </c:pt>
                <c:pt idx="5">
                  <c:v>14.599432651863447</c:v>
                </c:pt>
                <c:pt idx="6">
                  <c:v>15.068041237113402</c:v>
                </c:pt>
                <c:pt idx="7">
                  <c:v>15.84099892866378</c:v>
                </c:pt>
              </c:numCache>
            </c:numRef>
          </c:val>
          <c:extLst xmlns:c16r2="http://schemas.microsoft.com/office/drawing/2015/06/chart">
            <c:ext xmlns:c16="http://schemas.microsoft.com/office/drawing/2014/chart" uri="{C3380CC4-5D6E-409C-BE32-E72D297353CC}">
              <c16:uniqueId val="{00000002-369A-4AD1-94C2-D4BE78555DE2}"/>
            </c:ext>
          </c:extLst>
        </c:ser>
        <c:dLbls>
          <c:showLegendKey val="0"/>
          <c:showVal val="0"/>
          <c:showCatName val="0"/>
          <c:showSerName val="0"/>
          <c:showPercent val="0"/>
          <c:showBubbleSize val="0"/>
        </c:dLbls>
        <c:gapWidth val="150"/>
        <c:overlap val="100"/>
        <c:axId val="665753456"/>
        <c:axId val="665775800"/>
      </c:barChart>
      <c:catAx>
        <c:axId val="665753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65775800"/>
        <c:crosses val="autoZero"/>
        <c:auto val="1"/>
        <c:lblAlgn val="ctr"/>
        <c:lblOffset val="100"/>
        <c:noMultiLvlLbl val="0"/>
      </c:catAx>
      <c:valAx>
        <c:axId val="665775800"/>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6575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pPr>
      <a:endParaRPr lang="en-US"/>
    </a:p>
  </c:txPr>
  <c:externalData r:id="rId2">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6932534541518247"/>
          <c:y val="3.5433070866141829E-2"/>
          <c:w val="0.60203745996002755"/>
          <c:h val="0.72834645669291365"/>
        </c:manualLayout>
      </c:layout>
      <c:barChart>
        <c:barDir val="bar"/>
        <c:grouping val="clustered"/>
        <c:varyColors val="0"/>
        <c:ser>
          <c:idx val="0"/>
          <c:order val="0"/>
          <c:tx>
            <c:strRef>
              <c:f>Sheet1!$A$2</c:f>
              <c:strCache>
                <c:ptCount val="1"/>
                <c:pt idx="0">
                  <c:v>anul 2017</c:v>
                </c:pt>
              </c:strCache>
            </c:strRef>
          </c:tx>
          <c:spPr>
            <a:pattFill prst="pct30">
              <a:fgClr>
                <a:srgbClr val="4472C4">
                  <a:lumMod val="60000"/>
                  <a:lumOff val="40000"/>
                </a:srgbClr>
              </a:fgClr>
              <a:bgClr>
                <a:srgbClr val="FFFFFF"/>
              </a:bgClr>
            </a:pattFill>
            <a:ln w="12704">
              <a:solidFill>
                <a:srgbClr val="000000"/>
              </a:solidFill>
              <a:prstDash val="solid"/>
            </a:ln>
          </c:spPr>
          <c:invertIfNegative val="0"/>
          <c:dLbls>
            <c:dLbl>
              <c:idx val="1"/>
              <c:layout>
                <c:manualLayout>
                  <c:x val="4.3056553738204965E-3"/>
                  <c:y val="9.2140878354895952E-3"/>
                </c:manualLayout>
              </c:layout>
              <c:spPr>
                <a:noFill/>
                <a:ln w="25408">
                  <a:noFill/>
                </a:ln>
              </c:spPr>
              <c:txPr>
                <a:bodyPr/>
                <a:lstStyle/>
                <a:p>
                  <a:pPr>
                    <a:defRPr sz="6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112-4A57-A723-D29BB14F248A}"/>
                </c:ext>
                <c:ext xmlns:c15="http://schemas.microsoft.com/office/drawing/2012/chart" uri="{CE6537A1-D6FC-4f65-9D91-7224C49458BB}">
                  <c15:layout>
                    <c:manualLayout>
                      <c:w val="4.4065529923102642E-2"/>
                      <c:h val="6.2169177150460227E-2"/>
                    </c:manualLayout>
                  </c15:layout>
                </c:ext>
              </c:extLst>
            </c:dLbl>
            <c:spPr>
              <a:noFill/>
              <a:ln w="25408">
                <a:noFill/>
              </a:ln>
            </c:spPr>
            <c:txPr>
              <a:bodyPr wrap="square" lIns="38100" tIns="19050" rIns="38100" bIns="19050" anchor="ctr">
                <a:spAutoFit/>
              </a:bodyPr>
              <a:lstStyle/>
              <a:p>
                <a:pPr>
                  <a:defRPr sz="6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Sheet1!$B$1:$I$1</c:f>
              <c:strCache>
                <c:ptCount val="8"/>
                <c:pt idx="0">
                  <c:v>Articole manufacturate diverse</c:v>
                </c:pt>
                <c:pt idx="1">
                  <c:v>Produse alimentare şi animale vii</c:v>
                </c:pt>
                <c:pt idx="2">
                  <c:v>Maşini şi echipamente pentru transport</c:v>
                </c:pt>
                <c:pt idx="3">
                  <c:v>Materiale brute necomestibile, exclusiv combustibil</c:v>
                </c:pt>
                <c:pt idx="4">
                  <c:v>Băuturi şi tutun</c:v>
                </c:pt>
                <c:pt idx="5">
                  <c:v>Mărfuri manufacturate, clasificate după materia primă</c:v>
                </c:pt>
                <c:pt idx="6">
                  <c:v>Produse chimice</c:v>
                </c:pt>
                <c:pt idx="7">
                  <c:v>Alte grupe de mărfuri</c:v>
                </c:pt>
              </c:strCache>
            </c:strRef>
          </c:cat>
          <c:val>
            <c:numRef>
              <c:f>Sheet1!$B$2:$I$2</c:f>
              <c:numCache>
                <c:formatCode>0.0</c:formatCode>
                <c:ptCount val="8"/>
                <c:pt idx="0">
                  <c:v>537.15</c:v>
                </c:pt>
                <c:pt idx="1">
                  <c:v>609.57000000000005</c:v>
                </c:pt>
                <c:pt idx="2">
                  <c:v>431.39</c:v>
                </c:pt>
                <c:pt idx="3">
                  <c:v>276.82</c:v>
                </c:pt>
                <c:pt idx="4">
                  <c:v>201.21</c:v>
                </c:pt>
                <c:pt idx="5">
                  <c:v>168.5</c:v>
                </c:pt>
                <c:pt idx="6">
                  <c:v>127.74</c:v>
                </c:pt>
                <c:pt idx="7">
                  <c:v>42.38</c:v>
                </c:pt>
              </c:numCache>
            </c:numRef>
          </c:val>
          <c:extLst xmlns:c16r2="http://schemas.microsoft.com/office/drawing/2015/06/chart">
            <c:ext xmlns:c16="http://schemas.microsoft.com/office/drawing/2014/chart" uri="{C3380CC4-5D6E-409C-BE32-E72D297353CC}">
              <c16:uniqueId val="{00000001-E112-4A57-A723-D29BB14F248A}"/>
            </c:ext>
          </c:extLst>
        </c:ser>
        <c:ser>
          <c:idx val="1"/>
          <c:order val="1"/>
          <c:tx>
            <c:strRef>
              <c:f>Sheet1!$A$3</c:f>
              <c:strCache>
                <c:ptCount val="1"/>
                <c:pt idx="0">
                  <c:v>anul 2018</c:v>
                </c:pt>
              </c:strCache>
            </c:strRef>
          </c:tx>
          <c:spPr>
            <a:solidFill>
              <a:srgbClr val="4472C4"/>
            </a:solidFill>
            <a:ln w="12704">
              <a:solidFill>
                <a:srgbClr val="000000"/>
              </a:solidFill>
              <a:prstDash val="solid"/>
            </a:ln>
          </c:spPr>
          <c:invertIfNegative val="0"/>
          <c:dLbls>
            <c:dLbl>
              <c:idx val="0"/>
              <c:layout>
                <c:manualLayout>
                  <c:x val="1.0987139467575169E-2"/>
                  <c:y val="-1.6251650763074443E-2"/>
                </c:manualLayout>
              </c:layout>
              <c:spPr>
                <a:noFill/>
                <a:ln w="25408">
                  <a:noFill/>
                </a:ln>
              </c:spPr>
              <c:txPr>
                <a:bodyPr/>
                <a:lstStyle/>
                <a:p>
                  <a:pPr>
                    <a:defRPr sz="600" b="1"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112-4A57-A723-D29BB14F248A}"/>
                </c:ext>
                <c:ext xmlns:c15="http://schemas.microsoft.com/office/drawing/2012/chart" uri="{CE6537A1-D6FC-4f65-9D91-7224C49458BB}"/>
              </c:extLst>
            </c:dLbl>
            <c:spPr>
              <a:noFill/>
              <a:ln w="25408">
                <a:noFill/>
              </a:ln>
            </c:spPr>
            <c:txPr>
              <a:bodyPr wrap="square" lIns="38100" tIns="19050" rIns="38100" bIns="19050" anchor="ctr">
                <a:spAutoFit/>
              </a:bodyPr>
              <a:lstStyle/>
              <a:p>
                <a:pPr>
                  <a:defRPr sz="600" b="1"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Sheet1!$B$1:$I$1</c:f>
              <c:strCache>
                <c:ptCount val="8"/>
                <c:pt idx="0">
                  <c:v>Articole manufacturate diverse</c:v>
                </c:pt>
                <c:pt idx="1">
                  <c:v>Produse alimentare şi animale vii</c:v>
                </c:pt>
                <c:pt idx="2">
                  <c:v>Maşini şi echipamente pentru transport</c:v>
                </c:pt>
                <c:pt idx="3">
                  <c:v>Materiale brute necomestibile, exclusiv combustibil</c:v>
                </c:pt>
                <c:pt idx="4">
                  <c:v>Băuturi şi tutun</c:v>
                </c:pt>
                <c:pt idx="5">
                  <c:v>Mărfuri manufacturate, clasificate după materia primă</c:v>
                </c:pt>
                <c:pt idx="6">
                  <c:v>Produse chimice</c:v>
                </c:pt>
                <c:pt idx="7">
                  <c:v>Alte grupe de mărfuri</c:v>
                </c:pt>
              </c:strCache>
            </c:strRef>
          </c:cat>
          <c:val>
            <c:numRef>
              <c:f>Sheet1!$B$3:$I$3</c:f>
              <c:numCache>
                <c:formatCode>0.0</c:formatCode>
                <c:ptCount val="8"/>
                <c:pt idx="0">
                  <c:v>612.45000000000005</c:v>
                </c:pt>
                <c:pt idx="1">
                  <c:v>613.05999999999995</c:v>
                </c:pt>
                <c:pt idx="2">
                  <c:v>586.42999999999995</c:v>
                </c:pt>
                <c:pt idx="3">
                  <c:v>280.01</c:v>
                </c:pt>
                <c:pt idx="4">
                  <c:v>218.9</c:v>
                </c:pt>
                <c:pt idx="5">
                  <c:v>179.84</c:v>
                </c:pt>
                <c:pt idx="6">
                  <c:v>129.82</c:v>
                </c:pt>
                <c:pt idx="7">
                  <c:v>57.46</c:v>
                </c:pt>
              </c:numCache>
            </c:numRef>
          </c:val>
          <c:extLst xmlns:c16r2="http://schemas.microsoft.com/office/drawing/2015/06/chart">
            <c:ext xmlns:c16="http://schemas.microsoft.com/office/drawing/2014/chart" uri="{C3380CC4-5D6E-409C-BE32-E72D297353CC}">
              <c16:uniqueId val="{00000003-E112-4A57-A723-D29BB14F248A}"/>
            </c:ext>
          </c:extLst>
        </c:ser>
        <c:dLbls>
          <c:showLegendKey val="0"/>
          <c:showVal val="1"/>
          <c:showCatName val="0"/>
          <c:showSerName val="0"/>
          <c:showPercent val="0"/>
          <c:showBubbleSize val="0"/>
        </c:dLbls>
        <c:gapWidth val="150"/>
        <c:overlap val="-50"/>
        <c:axId val="665755808"/>
        <c:axId val="665771488"/>
      </c:barChart>
      <c:catAx>
        <c:axId val="665755808"/>
        <c:scaling>
          <c:orientation val="minMax"/>
        </c:scaling>
        <c:delete val="0"/>
        <c:axPos val="l"/>
        <c:numFmt formatCode="General" sourceLinked="1"/>
        <c:majorTickMark val="out"/>
        <c:minorTickMark val="none"/>
        <c:tickLblPos val="nextTo"/>
        <c:spPr>
          <a:ln w="3176">
            <a:solidFill>
              <a:srgbClr val="000000"/>
            </a:solidFill>
            <a:prstDash val="solid"/>
          </a:ln>
        </c:spPr>
        <c:txPr>
          <a:bodyPr rot="0" vert="horz"/>
          <a:lstStyle/>
          <a:p>
            <a:pPr>
              <a:defRPr sz="600" b="1" i="0" u="none" strike="noStrike" baseline="0">
                <a:solidFill>
                  <a:srgbClr val="000000"/>
                </a:solidFill>
                <a:latin typeface="Times New Roman"/>
                <a:ea typeface="Times New Roman"/>
                <a:cs typeface="Times New Roman"/>
              </a:defRPr>
            </a:pPr>
            <a:endParaRPr lang="en-US"/>
          </a:p>
        </c:txPr>
        <c:crossAx val="665771488"/>
        <c:crosses val="autoZero"/>
        <c:auto val="1"/>
        <c:lblAlgn val="ctr"/>
        <c:lblOffset val="100"/>
        <c:tickLblSkip val="1"/>
        <c:tickMarkSkip val="1"/>
        <c:noMultiLvlLbl val="0"/>
      </c:catAx>
      <c:valAx>
        <c:axId val="665771488"/>
        <c:scaling>
          <c:orientation val="minMax"/>
          <c:max val="650"/>
          <c:min val="0"/>
        </c:scaling>
        <c:delete val="0"/>
        <c:axPos val="b"/>
        <c:numFmt formatCode="General" sourceLinked="0"/>
        <c:majorTickMark val="out"/>
        <c:minorTickMark val="none"/>
        <c:tickLblPos val="nextTo"/>
        <c:spPr>
          <a:ln w="3176">
            <a:solidFill>
              <a:srgbClr val="000000"/>
            </a:solidFill>
            <a:prstDash val="solid"/>
          </a:ln>
        </c:spPr>
        <c:txPr>
          <a:bodyPr rot="0" vert="horz"/>
          <a:lstStyle/>
          <a:p>
            <a:pPr>
              <a:defRPr sz="600" b="1"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crossAx val="665755808"/>
        <c:crosses val="autoZero"/>
        <c:crossBetween val="between"/>
        <c:majorUnit val="50"/>
        <c:minorUnit val="10"/>
      </c:valAx>
      <c:spPr>
        <a:solidFill>
          <a:srgbClr val="FFFFFF"/>
        </a:solidFill>
        <a:ln w="25408">
          <a:noFill/>
        </a:ln>
      </c:spPr>
    </c:plotArea>
    <c:legend>
      <c:legendPos val="b"/>
      <c:layout>
        <c:manualLayout>
          <c:xMode val="edge"/>
          <c:yMode val="edge"/>
          <c:x val="0.30952380952381053"/>
          <c:y val="0.92519685039370236"/>
          <c:w val="0.52380952380952384"/>
          <c:h val="6.6929133858267723E-2"/>
        </c:manualLayout>
      </c:layout>
      <c:overlay val="0"/>
      <c:spPr>
        <a:noFill/>
        <a:ln w="3176">
          <a:solidFill>
            <a:srgbClr val="808080"/>
          </a:solidFill>
          <a:prstDash val="solid"/>
        </a:ln>
      </c:spPr>
      <c:txPr>
        <a:bodyPr/>
        <a:lstStyle/>
        <a:p>
          <a:pPr>
            <a:defRPr sz="600" b="1"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legend>
    <c:plotVisOnly val="1"/>
    <c:dispBlanksAs val="gap"/>
    <c:showDLblsOverMax val="0"/>
  </c:chart>
  <c:spPr>
    <a:noFill/>
    <a:ln>
      <a:noFill/>
    </a:ln>
  </c:spPr>
  <c:txPr>
    <a:bodyPr/>
    <a:lstStyle/>
    <a:p>
      <a:pPr>
        <a:defRPr sz="1125" b="1" i="0" u="none" strike="noStrike" baseline="0">
          <a:solidFill>
            <a:srgbClr val="000000"/>
          </a:solidFill>
          <a:latin typeface="Arial"/>
          <a:ea typeface="Arial"/>
          <a:cs typeface="Arial"/>
        </a:defRPr>
      </a:pPr>
      <a:endParaRPr lang="en-US"/>
    </a:p>
  </c:txPr>
  <c:externalData r:id="rId2">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0062093886615822E-2"/>
          <c:y val="2.0358553311677161E-2"/>
          <c:w val="0.94514106583072099"/>
          <c:h val="0.70890410958904104"/>
        </c:manualLayout>
      </c:layout>
      <c:barChart>
        <c:barDir val="col"/>
        <c:grouping val="stacked"/>
        <c:varyColors val="0"/>
        <c:ser>
          <c:idx val="1"/>
          <c:order val="0"/>
          <c:tx>
            <c:strRef>
              <c:f>Sheet1!$A$2</c:f>
              <c:strCache>
                <c:ptCount val="1"/>
                <c:pt idx="0">
                  <c:v>Ţările UE</c:v>
                </c:pt>
              </c:strCache>
            </c:strRef>
          </c:tx>
          <c:spPr>
            <a:solidFill>
              <a:schemeClr val="accent1">
                <a:shade val="86000"/>
              </a:schemeClr>
            </a:solidFill>
            <a:ln>
              <a:noFill/>
            </a:ln>
            <a:effectLst>
              <a:glow>
                <a:srgbClr val="5B9BD5">
                  <a:alpha val="40000"/>
                </a:srgbClr>
              </a:glow>
              <a:outerShdw blurRad="50800" dist="50800" dir="5400000" sx="1000" sy="1000" algn="ctr" rotWithShape="0">
                <a:srgbClr val="000000">
                  <a:alpha val="43137"/>
                </a:srgbClr>
              </a:outerShdw>
              <a:softEdge rad="0"/>
            </a:effectLst>
          </c:spPr>
          <c:invertIfNegative val="0"/>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Sheet1!$B$2:$I$2</c:f>
              <c:numCache>
                <c:formatCode>0.0</c:formatCode>
                <c:ptCount val="8"/>
                <c:pt idx="0">
                  <c:v>14.320545742224967</c:v>
                </c:pt>
                <c:pt idx="1">
                  <c:v>1.2000847571899265</c:v>
                </c:pt>
                <c:pt idx="2">
                  <c:v>2.9446181587983657</c:v>
                </c:pt>
                <c:pt idx="3">
                  <c:v>1.7405869929356994</c:v>
                </c:pt>
                <c:pt idx="4">
                  <c:v>-11.536580778634573</c:v>
                </c:pt>
                <c:pt idx="5">
                  <c:v>0.4815892445068739</c:v>
                </c:pt>
                <c:pt idx="6">
                  <c:v>10.34028157803094</c:v>
                </c:pt>
                <c:pt idx="7">
                  <c:v>9.5500269073146526</c:v>
                </c:pt>
              </c:numCache>
            </c:numRef>
          </c:val>
          <c:extLst xmlns:c16r2="http://schemas.microsoft.com/office/drawing/2015/06/chart">
            <c:ext xmlns:c16="http://schemas.microsoft.com/office/drawing/2014/chart" uri="{C3380CC4-5D6E-409C-BE32-E72D297353CC}">
              <c16:uniqueId val="{00000000-8DDD-4DD3-86D5-397016B52687}"/>
            </c:ext>
          </c:extLst>
        </c:ser>
        <c:ser>
          <c:idx val="2"/>
          <c:order val="1"/>
          <c:tx>
            <c:strRef>
              <c:f>Sheet1!$A$3</c:f>
              <c:strCache>
                <c:ptCount val="1"/>
                <c:pt idx="0">
                  <c:v>Ţările CSI</c:v>
                </c:pt>
              </c:strCache>
            </c:strRef>
          </c:tx>
          <c:spPr>
            <a:solidFill>
              <a:schemeClr val="accent1">
                <a:tint val="86000"/>
              </a:schemeClr>
            </a:solidFill>
            <a:ln>
              <a:noFill/>
            </a:ln>
            <a:effectLst/>
          </c:spPr>
          <c:invertIfNegative val="0"/>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Sheet1!$B$3:$I$3</c:f>
              <c:numCache>
                <c:formatCode>0.0</c:formatCode>
                <c:ptCount val="8"/>
                <c:pt idx="0">
                  <c:v>11.840842476590671</c:v>
                </c:pt>
                <c:pt idx="1">
                  <c:v>-1.7278908943809848</c:v>
                </c:pt>
                <c:pt idx="2">
                  <c:v>0.93230255711791732</c:v>
                </c:pt>
                <c:pt idx="3">
                  <c:v>-4.0601558517223832</c:v>
                </c:pt>
                <c:pt idx="4">
                  <c:v>-8.1098363738950496</c:v>
                </c:pt>
                <c:pt idx="5">
                  <c:v>0.22825323567773997</c:v>
                </c:pt>
                <c:pt idx="6">
                  <c:v>4.4475399233868895</c:v>
                </c:pt>
                <c:pt idx="7">
                  <c:v>5.0316678395496162</c:v>
                </c:pt>
              </c:numCache>
            </c:numRef>
          </c:val>
          <c:extLst xmlns:c16r2="http://schemas.microsoft.com/office/drawing/2015/06/chart">
            <c:ext xmlns:c16="http://schemas.microsoft.com/office/drawing/2014/chart" uri="{C3380CC4-5D6E-409C-BE32-E72D297353CC}">
              <c16:uniqueId val="{00000001-8DDD-4DD3-86D5-397016B52687}"/>
            </c:ext>
          </c:extLst>
        </c:ser>
        <c:ser>
          <c:idx val="3"/>
          <c:order val="2"/>
          <c:tx>
            <c:strRef>
              <c:f>Sheet1!$A$4</c:f>
              <c:strCache>
                <c:ptCount val="1"/>
                <c:pt idx="0">
                  <c:v>Alte ţări</c:v>
                </c:pt>
              </c:strCache>
            </c:strRef>
          </c:tx>
          <c:spPr>
            <a:solidFill>
              <a:schemeClr val="accent1">
                <a:tint val="58000"/>
              </a:schemeClr>
            </a:solidFill>
            <a:ln>
              <a:noFill/>
            </a:ln>
            <a:effectLst/>
          </c:spPr>
          <c:invertIfNegative val="0"/>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Sheet1!$B$4:$I$4</c:f>
              <c:numCache>
                <c:formatCode>0.0</c:formatCode>
                <c:ptCount val="8"/>
                <c:pt idx="0">
                  <c:v>8.4922055352372006</c:v>
                </c:pt>
                <c:pt idx="1">
                  <c:v>0.94388688767746498</c:v>
                </c:pt>
                <c:pt idx="2">
                  <c:v>1.4847781465211278</c:v>
                </c:pt>
                <c:pt idx="3">
                  <c:v>-0.87393489185055706</c:v>
                </c:pt>
                <c:pt idx="4">
                  <c:v>-5.3714500658265933</c:v>
                </c:pt>
                <c:pt idx="5">
                  <c:v>0.1279221430721415</c:v>
                </c:pt>
                <c:pt idx="6">
                  <c:v>5.3902790905925064</c:v>
                </c:pt>
                <c:pt idx="7">
                  <c:v>4.7253384112265548</c:v>
                </c:pt>
              </c:numCache>
            </c:numRef>
          </c:val>
          <c:extLst xmlns:c16r2="http://schemas.microsoft.com/office/drawing/2015/06/chart">
            <c:ext xmlns:c16="http://schemas.microsoft.com/office/drawing/2014/chart" uri="{C3380CC4-5D6E-409C-BE32-E72D297353CC}">
              <c16:uniqueId val="{00000002-8DDD-4DD3-86D5-397016B52687}"/>
            </c:ext>
          </c:extLst>
        </c:ser>
        <c:dLbls>
          <c:showLegendKey val="0"/>
          <c:showVal val="0"/>
          <c:showCatName val="0"/>
          <c:showSerName val="0"/>
          <c:showPercent val="0"/>
          <c:showBubbleSize val="0"/>
        </c:dLbls>
        <c:gapWidth val="150"/>
        <c:overlap val="100"/>
        <c:axId val="665749144"/>
        <c:axId val="665762472"/>
      </c:barChart>
      <c:lineChart>
        <c:grouping val="stacked"/>
        <c:varyColors val="0"/>
        <c:ser>
          <c:idx val="0"/>
          <c:order val="3"/>
          <c:tx>
            <c:strRef>
              <c:f>Sheet1!$A$5</c:f>
              <c:strCache>
                <c:ptCount val="1"/>
                <c:pt idx="0">
                  <c:v>Importurile</c:v>
                </c:pt>
              </c:strCache>
            </c:strRef>
          </c:tx>
          <c:spPr>
            <a:ln w="19050" cap="rnd" cmpd="sng" algn="ctr">
              <a:solidFill>
                <a:schemeClr val="accent1">
                  <a:shade val="58000"/>
                </a:schemeClr>
              </a:solidFill>
              <a:prstDash val="solid"/>
              <a:round/>
            </a:ln>
            <a:effectLst/>
          </c:spPr>
          <c:marker>
            <c:spPr>
              <a:solidFill>
                <a:schemeClr val="accent1">
                  <a:shade val="58000"/>
                </a:schemeClr>
              </a:solidFill>
              <a:ln w="6350" cap="flat" cmpd="sng" algn="ctr">
                <a:solidFill>
                  <a:schemeClr val="accent1">
                    <a:shade val="58000"/>
                  </a:schemeClr>
                </a:solidFill>
                <a:prstDash val="solid"/>
                <a:round/>
              </a:ln>
              <a:effectLst/>
            </c:spPr>
          </c:marker>
          <c:dLbls>
            <c:dLbl>
              <c:idx val="0"/>
              <c:layout>
                <c:manualLayout>
                  <c:x val="-7.1206052514463755E-2"/>
                  <c:y val="-2.5329280648429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B98-4FCB-93AF-1CFE6FD6A9A5}"/>
                </c:ext>
                <c:ext xmlns:c15="http://schemas.microsoft.com/office/drawing/2012/chart" uri="{CE6537A1-D6FC-4f65-9D91-7224C49458BB}"/>
              </c:extLst>
            </c:dLbl>
            <c:dLbl>
              <c:idx val="1"/>
              <c:layout>
                <c:manualLayout>
                  <c:x val="-4.0053404539385891E-2"/>
                  <c:y val="-3.03951367781155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DDD-4DD3-86D5-397016B52687}"/>
                </c:ext>
                <c:ext xmlns:c15="http://schemas.microsoft.com/office/drawing/2012/chart" uri="{CE6537A1-D6FC-4f65-9D91-7224C49458BB}"/>
              </c:extLst>
            </c:dLbl>
            <c:dLbl>
              <c:idx val="2"/>
              <c:layout>
                <c:manualLayout>
                  <c:x val="-5.7854917668001819E-2"/>
                  <c:y val="-4.05268490374873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DDD-4DD3-86D5-397016B52687}"/>
                </c:ext>
                <c:ext xmlns:c15="http://schemas.microsoft.com/office/drawing/2012/chart" uri="{CE6537A1-D6FC-4f65-9D91-7224C49458BB}"/>
              </c:extLst>
            </c:dLbl>
            <c:dLbl>
              <c:idx val="3"/>
              <c:layout>
                <c:manualLayout>
                  <c:x val="-7.1206052514463727E-2"/>
                  <c:y val="7.5987841945288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DDD-4DD3-86D5-397016B52687}"/>
                </c:ext>
                <c:ext xmlns:c15="http://schemas.microsoft.com/office/drawing/2012/chart" uri="{CE6537A1-D6FC-4f65-9D91-7224C49458BB}"/>
              </c:extLst>
            </c:dLbl>
            <c:dLbl>
              <c:idx val="5"/>
              <c:layout>
                <c:manualLayout>
                  <c:x val="-4.0053404539385933E-2"/>
                  <c:y val="3.546099290780142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B98-4FCB-93AF-1CFE6FD6A9A5}"/>
                </c:ext>
                <c:ext xmlns:c15="http://schemas.microsoft.com/office/drawing/2012/chart" uri="{CE6537A1-D6FC-4f65-9D91-7224C49458BB}"/>
              </c:extLst>
            </c:dLbl>
            <c:dLbl>
              <c:idx val="6"/>
              <c:layout>
                <c:manualLayout>
                  <c:x val="-7.5656430796617713E-2"/>
                  <c:y val="-5.57244174265450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B98-4FCB-93AF-1CFE6FD6A9A5}"/>
                </c:ext>
                <c:ext xmlns:c15="http://schemas.microsoft.com/office/drawing/2012/chart" uri="{CE6537A1-D6FC-4f65-9D91-7224C49458BB}"/>
              </c:extLst>
            </c:dLbl>
            <c:dLbl>
              <c:idx val="7"/>
              <c:layout>
                <c:manualLayout>
                  <c:x val="-1.335113484646195E-2"/>
                  <c:y val="-4.052684903748735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DDD-4DD3-86D5-397016B5268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000000"/>
                    </a:solidFill>
                    <a:latin typeface="+mn-lt"/>
                    <a:ea typeface="Arial Cyr"/>
                    <a:cs typeface="Arial Cy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Sheet1!$B$1:$I$1</c:f>
              <c:numCache>
                <c:formatCode>General</c:formatCode>
                <c:ptCount val="8"/>
                <c:pt idx="0">
                  <c:v>2011</c:v>
                </c:pt>
                <c:pt idx="1">
                  <c:v>2012</c:v>
                </c:pt>
                <c:pt idx="2">
                  <c:v>2013</c:v>
                </c:pt>
                <c:pt idx="3">
                  <c:v>2014</c:v>
                </c:pt>
                <c:pt idx="4">
                  <c:v>2015</c:v>
                </c:pt>
                <c:pt idx="5">
                  <c:v>2016</c:v>
                </c:pt>
                <c:pt idx="6">
                  <c:v>2017</c:v>
                </c:pt>
                <c:pt idx="7">
                  <c:v>2018</c:v>
                </c:pt>
              </c:numCache>
            </c:numRef>
          </c:cat>
          <c:val>
            <c:numRef>
              <c:f>Sheet1!$B$5:$I$5</c:f>
              <c:numCache>
                <c:formatCode>0.0</c:formatCode>
                <c:ptCount val="8"/>
                <c:pt idx="0">
                  <c:v>34.653593754052821</c:v>
                </c:pt>
                <c:pt idx="1">
                  <c:v>0.41608075048639781</c:v>
                </c:pt>
                <c:pt idx="2">
                  <c:v>5.3616988624374322</c:v>
                </c:pt>
                <c:pt idx="3">
                  <c:v>-3.193503750637237</c:v>
                </c:pt>
                <c:pt idx="4">
                  <c:v>-25.017867218356233</c:v>
                </c:pt>
                <c:pt idx="5">
                  <c:v>0.83776462325674961</c:v>
                </c:pt>
                <c:pt idx="6">
                  <c:v>20.178100592010345</c:v>
                </c:pt>
                <c:pt idx="7">
                  <c:v>19.307033158090828</c:v>
                </c:pt>
              </c:numCache>
            </c:numRef>
          </c:val>
          <c:smooth val="1"/>
          <c:extLst xmlns:c16r2="http://schemas.microsoft.com/office/drawing/2015/06/chart">
            <c:ext xmlns:c16="http://schemas.microsoft.com/office/drawing/2014/chart" uri="{C3380CC4-5D6E-409C-BE32-E72D297353CC}">
              <c16:uniqueId val="{00000007-8DDD-4DD3-86D5-397016B52687}"/>
            </c:ext>
          </c:extLst>
        </c:ser>
        <c:dLbls>
          <c:showLegendKey val="0"/>
          <c:showVal val="0"/>
          <c:showCatName val="0"/>
          <c:showSerName val="0"/>
          <c:showPercent val="0"/>
          <c:showBubbleSize val="0"/>
        </c:dLbls>
        <c:marker val="1"/>
        <c:smooth val="0"/>
        <c:axId val="665749144"/>
        <c:axId val="665762472"/>
      </c:lineChart>
      <c:catAx>
        <c:axId val="665749144"/>
        <c:scaling>
          <c:orientation val="minMax"/>
        </c:scaling>
        <c:delete val="0"/>
        <c:axPos val="b"/>
        <c:numFmt formatCode="General" sourceLinked="1"/>
        <c:majorTickMark val="out"/>
        <c:minorTickMark val="none"/>
        <c:tickLblPos val="low"/>
        <c:spPr>
          <a:noFill/>
          <a:ln w="3175" cap="flat" cmpd="sng" algn="ctr">
            <a:solidFill>
              <a:srgbClr val="000000"/>
            </a:solidFill>
            <a:prstDash val="solid"/>
            <a:round/>
          </a:ln>
          <a:effectLst/>
        </c:spPr>
        <c:txPr>
          <a:bodyPr rot="0" spcFirstLastPara="1" vertOverflow="ellipsis" wrap="square" anchor="ctr" anchorCtr="1"/>
          <a:lstStyle/>
          <a:p>
            <a:pPr>
              <a:defRPr sz="800" b="0" i="0" u="none" strike="noStrike" kern="1200" baseline="0">
                <a:solidFill>
                  <a:srgbClr val="000000"/>
                </a:solidFill>
                <a:latin typeface="+mn-lt"/>
                <a:ea typeface="Arial Cyr"/>
                <a:cs typeface="Arial Cyr"/>
              </a:defRPr>
            </a:pPr>
            <a:endParaRPr lang="en-US"/>
          </a:p>
        </c:txPr>
        <c:crossAx val="665762472"/>
        <c:crosses val="autoZero"/>
        <c:auto val="1"/>
        <c:lblAlgn val="ctr"/>
        <c:lblOffset val="100"/>
        <c:noMultiLvlLbl val="0"/>
      </c:catAx>
      <c:valAx>
        <c:axId val="665762472"/>
        <c:scaling>
          <c:orientation val="minMax"/>
          <c:max val="50"/>
          <c:min val="-25"/>
        </c:scaling>
        <c:delete val="0"/>
        <c:axPos val="l"/>
        <c:majorGridlines>
          <c:spPr>
            <a:ln w="12700" cap="flat" cmpd="sng" algn="ctr">
              <a:solidFill>
                <a:srgbClr val="FFFFFF"/>
              </a:solidFill>
              <a:prstDash val="solid"/>
              <a:round/>
            </a:ln>
            <a:effectLst/>
          </c:spPr>
        </c:majorGridlines>
        <c:numFmt formatCode="0" sourceLinked="0"/>
        <c:majorTickMark val="out"/>
        <c:minorTickMark val="none"/>
        <c:tickLblPos val="nextTo"/>
        <c:spPr>
          <a:noFill/>
          <a:ln w="3175" cap="flat" cmpd="sng" algn="ctr">
            <a:solidFill>
              <a:srgbClr val="000000"/>
            </a:solidFill>
            <a:prstDash val="solid"/>
            <a:round/>
          </a:ln>
          <a:effectLst/>
        </c:spPr>
        <c:txPr>
          <a:bodyPr rot="0" spcFirstLastPara="1" vertOverflow="ellipsis" wrap="square" anchor="ctr" anchorCtr="1"/>
          <a:lstStyle/>
          <a:p>
            <a:pPr>
              <a:defRPr sz="800" b="0" i="0" u="none" strike="noStrike" kern="1200" baseline="0">
                <a:solidFill>
                  <a:srgbClr val="000000"/>
                </a:solidFill>
                <a:latin typeface="+mn-lt"/>
                <a:ea typeface="Arial Cyr"/>
                <a:cs typeface="Arial Cyr"/>
              </a:defRPr>
            </a:pPr>
            <a:endParaRPr lang="en-US"/>
          </a:p>
        </c:txPr>
        <c:crossAx val="665749144"/>
        <c:crosses val="autoZero"/>
        <c:crossBetween val="between"/>
        <c:majorUnit val="10"/>
        <c:minorUnit val="5"/>
      </c:valAx>
      <c:spPr>
        <a:noFill/>
        <a:ln w="25400">
          <a:noFill/>
        </a:ln>
        <a:effectLst/>
      </c:spPr>
    </c:plotArea>
    <c:legend>
      <c:legendPos val="b"/>
      <c:layout>
        <c:manualLayout>
          <c:xMode val="edge"/>
          <c:yMode val="edge"/>
          <c:x val="0.16295292155801699"/>
          <c:y val="0.86903118313218364"/>
          <c:w val="0.67216320084814085"/>
          <c:h val="0.11950793384869444"/>
        </c:manualLayout>
      </c:layout>
      <c:overlay val="0"/>
      <c:spPr>
        <a:noFill/>
        <a:ln w="3175">
          <a:noFill/>
          <a:prstDash val="solid"/>
        </a:ln>
        <a:effectLst>
          <a:glow rad="368300">
            <a:srgbClr val="5B9BD5">
              <a:alpha val="40000"/>
            </a:srgbClr>
          </a:glow>
        </a:effectLst>
      </c:spPr>
      <c:txPr>
        <a:bodyPr rot="0" spcFirstLastPara="1" vertOverflow="ellipsis" vert="horz" wrap="square" anchor="ctr" anchorCtr="1"/>
        <a:lstStyle/>
        <a:p>
          <a:pPr>
            <a:defRPr sz="800" b="0" i="0" u="none" strike="noStrike" kern="1200" baseline="0">
              <a:solidFill>
                <a:srgbClr val="000000"/>
              </a:solidFill>
              <a:latin typeface="+mn-lt"/>
              <a:ea typeface="Arial Cyr"/>
              <a:cs typeface="Arial Cyr"/>
            </a:defRPr>
          </a:pPr>
          <a:endParaRPr lang="en-US"/>
        </a:p>
      </c:txPr>
    </c:legend>
    <c:plotVisOnly val="1"/>
    <c:dispBlanksAs val="gap"/>
    <c:showDLblsOverMax val="0"/>
  </c:chart>
  <c:spPr>
    <a:noFill/>
    <a:ln w="6350" cap="flat" cmpd="sng" algn="ctr">
      <a:noFill/>
      <a:prstDash val="solid"/>
      <a:round/>
    </a:ln>
    <a:effectLst/>
  </c:spPr>
  <c:txPr>
    <a:bodyPr/>
    <a:lstStyle/>
    <a:p>
      <a:pPr>
        <a:defRPr sz="800" b="1" i="0" u="none" strike="noStrike" baseline="0">
          <a:solidFill>
            <a:srgbClr val="000000"/>
          </a:solidFill>
          <a:latin typeface="Arial Cyr"/>
          <a:ea typeface="Arial Cyr"/>
          <a:cs typeface="Arial Cyr"/>
        </a:defRPr>
      </a:pPr>
      <a:endParaRPr lang="en-US"/>
    </a:p>
  </c:txPr>
  <c:externalData r:id="rId2">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93200564119128"/>
          <c:y val="4.3650793650793648E-2"/>
          <c:w val="0.80207749754212798"/>
          <c:h val="0.73232221192034641"/>
        </c:manualLayout>
      </c:layout>
      <c:barChart>
        <c:barDir val="bar"/>
        <c:grouping val="percentStacked"/>
        <c:varyColors val="0"/>
        <c:ser>
          <c:idx val="0"/>
          <c:order val="0"/>
          <c:tx>
            <c:strRef>
              <c:f>Sheet1!$B$1</c:f>
              <c:strCache>
                <c:ptCount val="1"/>
                <c:pt idx="0">
                  <c:v>UE</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Sheet1!$A$2:$A$9</c:f>
              <c:numCache>
                <c:formatCode>General</c:formatCode>
                <c:ptCount val="8"/>
                <c:pt idx="0">
                  <c:v>2011</c:v>
                </c:pt>
                <c:pt idx="1">
                  <c:v>2012</c:v>
                </c:pt>
                <c:pt idx="2">
                  <c:v>2013</c:v>
                </c:pt>
                <c:pt idx="3">
                  <c:v>2014</c:v>
                </c:pt>
                <c:pt idx="4">
                  <c:v>2015</c:v>
                </c:pt>
                <c:pt idx="5">
                  <c:v>2016</c:v>
                </c:pt>
                <c:pt idx="6">
                  <c:v>2017</c:v>
                </c:pt>
                <c:pt idx="7">
                  <c:v>2018</c:v>
                </c:pt>
              </c:numCache>
            </c:numRef>
          </c:cat>
          <c:val>
            <c:numRef>
              <c:f>Sheet1!$B$2:$B$9</c:f>
              <c:numCache>
                <c:formatCode>0.0</c:formatCode>
                <c:ptCount val="8"/>
                <c:pt idx="0">
                  <c:v>43.463101727890887</c:v>
                </c:pt>
                <c:pt idx="1">
                  <c:v>44.478121582996032</c:v>
                </c:pt>
                <c:pt idx="2">
                  <c:v>45.009467627995043</c:v>
                </c:pt>
                <c:pt idx="3">
                  <c:v>48.292270077111148</c:v>
                </c:pt>
                <c:pt idx="4">
                  <c:v>49.019263569780279</c:v>
                </c:pt>
                <c:pt idx="5">
                  <c:v>49.08959753246107</c:v>
                </c:pt>
                <c:pt idx="6">
                  <c:v>49.451504739826966</c:v>
                </c:pt>
                <c:pt idx="7">
                  <c:v>49.453523472467992</c:v>
                </c:pt>
              </c:numCache>
            </c:numRef>
          </c:val>
          <c:extLst xmlns:c16r2="http://schemas.microsoft.com/office/drawing/2015/06/chart">
            <c:ext xmlns:c16="http://schemas.microsoft.com/office/drawing/2014/chart" uri="{C3380CC4-5D6E-409C-BE32-E72D297353CC}">
              <c16:uniqueId val="{00000000-369A-4AD1-94C2-D4BE78555DE2}"/>
            </c:ext>
          </c:extLst>
        </c:ser>
        <c:ser>
          <c:idx val="1"/>
          <c:order val="1"/>
          <c:tx>
            <c:strRef>
              <c:f>Sheet1!$C$1</c:f>
              <c:strCache>
                <c:ptCount val="1"/>
                <c:pt idx="0">
                  <c:v>CSI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Sheet1!$A$2:$A$9</c:f>
              <c:numCache>
                <c:formatCode>General</c:formatCode>
                <c:ptCount val="8"/>
                <c:pt idx="0">
                  <c:v>2011</c:v>
                </c:pt>
                <c:pt idx="1">
                  <c:v>2012</c:v>
                </c:pt>
                <c:pt idx="2">
                  <c:v>2013</c:v>
                </c:pt>
                <c:pt idx="3">
                  <c:v>2014</c:v>
                </c:pt>
                <c:pt idx="4">
                  <c:v>2015</c:v>
                </c:pt>
                <c:pt idx="5">
                  <c:v>2016</c:v>
                </c:pt>
                <c:pt idx="6">
                  <c:v>2017</c:v>
                </c:pt>
                <c:pt idx="7">
                  <c:v>2018</c:v>
                </c:pt>
              </c:numCache>
            </c:numRef>
          </c:cat>
          <c:val>
            <c:numRef>
              <c:f>Sheet1!$C$2:$C$9</c:f>
              <c:numCache>
                <c:formatCode>0.0</c:formatCode>
                <c:ptCount val="8"/>
                <c:pt idx="0">
                  <c:v>33.005220272378793</c:v>
                </c:pt>
                <c:pt idx="1">
                  <c:v>31.147729670624798</c:v>
                </c:pt>
                <c:pt idx="2">
                  <c:v>30.447527492535134</c:v>
                </c:pt>
                <c:pt idx="3">
                  <c:v>27.257852172277591</c:v>
                </c:pt>
                <c:pt idx="4">
                  <c:v>25.536771345439952</c:v>
                </c:pt>
                <c:pt idx="5">
                  <c:v>25.550967613551567</c:v>
                </c:pt>
                <c:pt idx="6">
                  <c:v>24.961708821459617</c:v>
                </c:pt>
                <c:pt idx="7">
                  <c:v>25.139655112591512</c:v>
                </c:pt>
              </c:numCache>
            </c:numRef>
          </c:val>
          <c:extLst xmlns:c16r2="http://schemas.microsoft.com/office/drawing/2015/06/chart">
            <c:ext xmlns:c16="http://schemas.microsoft.com/office/drawing/2014/chart" uri="{C3380CC4-5D6E-409C-BE32-E72D297353CC}">
              <c16:uniqueId val="{00000001-369A-4AD1-94C2-D4BE78555DE2}"/>
            </c:ext>
          </c:extLst>
        </c:ser>
        <c:ser>
          <c:idx val="2"/>
          <c:order val="2"/>
          <c:tx>
            <c:strRef>
              <c:f>Sheet1!$D$1</c:f>
              <c:strCache>
                <c:ptCount val="1"/>
                <c:pt idx="0">
                  <c:v>alte țări</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Sheet1!$A$2:$A$9</c:f>
              <c:numCache>
                <c:formatCode>General</c:formatCode>
                <c:ptCount val="8"/>
                <c:pt idx="0">
                  <c:v>2011</c:v>
                </c:pt>
                <c:pt idx="1">
                  <c:v>2012</c:v>
                </c:pt>
                <c:pt idx="2">
                  <c:v>2013</c:v>
                </c:pt>
                <c:pt idx="3">
                  <c:v>2014</c:v>
                </c:pt>
                <c:pt idx="4">
                  <c:v>2015</c:v>
                </c:pt>
                <c:pt idx="5">
                  <c:v>2016</c:v>
                </c:pt>
                <c:pt idx="6">
                  <c:v>2017</c:v>
                </c:pt>
                <c:pt idx="7">
                  <c:v>2018</c:v>
                </c:pt>
              </c:numCache>
            </c:numRef>
          </c:cat>
          <c:val>
            <c:numRef>
              <c:f>Sheet1!$D$2:$D$9</c:f>
              <c:numCache>
                <c:formatCode>0.0</c:formatCode>
                <c:ptCount val="8"/>
                <c:pt idx="0">
                  <c:v>23.53167799973032</c:v>
                </c:pt>
                <c:pt idx="1">
                  <c:v>24.374148746379177</c:v>
                </c:pt>
                <c:pt idx="2">
                  <c:v>24.543004879469809</c:v>
                </c:pt>
                <c:pt idx="3">
                  <c:v>24.449877750611243</c:v>
                </c:pt>
                <c:pt idx="4">
                  <c:v>25.443965084779776</c:v>
                </c:pt>
                <c:pt idx="5">
                  <c:v>25.359434853987366</c:v>
                </c:pt>
                <c:pt idx="6">
                  <c:v>25.586786438713421</c:v>
                </c:pt>
                <c:pt idx="7">
                  <c:v>25.406821414940492</c:v>
                </c:pt>
              </c:numCache>
            </c:numRef>
          </c:val>
          <c:extLst xmlns:c16r2="http://schemas.microsoft.com/office/drawing/2015/06/chart">
            <c:ext xmlns:c16="http://schemas.microsoft.com/office/drawing/2014/chart" uri="{C3380CC4-5D6E-409C-BE32-E72D297353CC}">
              <c16:uniqueId val="{00000002-369A-4AD1-94C2-D4BE78555DE2}"/>
            </c:ext>
          </c:extLst>
        </c:ser>
        <c:dLbls>
          <c:showLegendKey val="0"/>
          <c:showVal val="0"/>
          <c:showCatName val="0"/>
          <c:showSerName val="0"/>
          <c:showPercent val="0"/>
          <c:showBubbleSize val="0"/>
        </c:dLbls>
        <c:gapWidth val="150"/>
        <c:overlap val="100"/>
        <c:axId val="665768744"/>
        <c:axId val="484583040"/>
      </c:barChart>
      <c:catAx>
        <c:axId val="6657687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84583040"/>
        <c:crosses val="autoZero"/>
        <c:auto val="1"/>
        <c:lblAlgn val="ctr"/>
        <c:lblOffset val="100"/>
        <c:noMultiLvlLbl val="0"/>
      </c:catAx>
      <c:valAx>
        <c:axId val="484583040"/>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65768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pPr>
      <a:endParaRPr lang="en-US"/>
    </a:p>
  </c:txPr>
  <c:externalData r:id="rId2">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8517259761134509"/>
          <c:y val="4.5267293379686893E-2"/>
          <c:w val="0.59211426478666906"/>
          <c:h val="0.73662551440329527"/>
        </c:manualLayout>
      </c:layout>
      <c:barChart>
        <c:barDir val="bar"/>
        <c:grouping val="clustered"/>
        <c:varyColors val="0"/>
        <c:ser>
          <c:idx val="0"/>
          <c:order val="0"/>
          <c:tx>
            <c:strRef>
              <c:f>Sheet1!$A$2</c:f>
              <c:strCache>
                <c:ptCount val="1"/>
                <c:pt idx="0">
                  <c:v>2017</c:v>
                </c:pt>
              </c:strCache>
            </c:strRef>
          </c:tx>
          <c:spPr>
            <a:pattFill prst="pct30">
              <a:fgClr>
                <a:srgbClr val="4472C4">
                  <a:lumMod val="60000"/>
                  <a:lumOff val="40000"/>
                </a:srgbClr>
              </a:fgClr>
              <a:bgClr>
                <a:srgbClr val="FFFFFF"/>
              </a:bgClr>
            </a:pattFill>
            <a:ln w="12146">
              <a:solidFill>
                <a:srgbClr val="000000"/>
              </a:solidFill>
              <a:prstDash val="solid"/>
            </a:ln>
          </c:spPr>
          <c:invertIfNegative val="0"/>
          <c:dLbls>
            <c:dLbl>
              <c:idx val="0"/>
              <c:layout>
                <c:manualLayout>
                  <c:x val="9.336102578640466E-3"/>
                  <c:y val="7.6018685230205196E-3"/>
                </c:manualLayout>
              </c:layout>
              <c:spPr>
                <a:noFill/>
                <a:ln w="24290">
                  <a:noFill/>
                </a:ln>
              </c:spPr>
              <c:txPr>
                <a:bodyPr/>
                <a:lstStyle/>
                <a:p>
                  <a:pPr>
                    <a:defRPr sz="6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311-45C4-8BAC-84410D731B28}"/>
                </c:ext>
                <c:ext xmlns:c15="http://schemas.microsoft.com/office/drawing/2012/chart" uri="{CE6537A1-D6FC-4f65-9D91-7224C49458BB}"/>
              </c:extLst>
            </c:dLbl>
            <c:spPr>
              <a:noFill/>
              <a:ln w="24290">
                <a:noFill/>
              </a:ln>
            </c:spPr>
            <c:txPr>
              <a:bodyPr wrap="square" lIns="38100" tIns="19050" rIns="38100" bIns="19050" anchor="ctr">
                <a:spAutoFit/>
              </a:bodyPr>
              <a:lstStyle/>
              <a:p>
                <a:pPr>
                  <a:defRPr sz="6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Sheet1!$B$1:$H$1</c:f>
              <c:strCache>
                <c:ptCount val="7"/>
                <c:pt idx="0">
                  <c:v>Maşini şi echipamente pentru transport</c:v>
                </c:pt>
                <c:pt idx="1">
                  <c:v>Mărfuri manufacturate, clasificate mai ales după materia primă</c:v>
                </c:pt>
                <c:pt idx="2">
                  <c:v>Combustibili minerali, lubrifianţi şi materiale derivate</c:v>
                </c:pt>
                <c:pt idx="3">
                  <c:v>Produse chimice şi produse derivate nespecificateîn altă parte</c:v>
                </c:pt>
                <c:pt idx="4">
                  <c:v>Articole manufacturate diverse</c:v>
                </c:pt>
                <c:pt idx="5">
                  <c:v>Produse alimentare şi animale vii</c:v>
                </c:pt>
                <c:pt idx="6">
                  <c:v>Alte grupe de mărfuri</c:v>
                </c:pt>
              </c:strCache>
            </c:strRef>
          </c:cat>
          <c:val>
            <c:numRef>
              <c:f>Sheet1!$B$2:$H$2</c:f>
              <c:numCache>
                <c:formatCode>0.0</c:formatCode>
                <c:ptCount val="7"/>
                <c:pt idx="0">
                  <c:v>1079.7398837999999</c:v>
                </c:pt>
                <c:pt idx="1">
                  <c:v>993.55737109000006</c:v>
                </c:pt>
                <c:pt idx="2">
                  <c:v>760.58965185</c:v>
                </c:pt>
                <c:pt idx="3">
                  <c:v>718.56313463000004</c:v>
                </c:pt>
                <c:pt idx="4">
                  <c:v>517.51345400000002</c:v>
                </c:pt>
                <c:pt idx="5">
                  <c:v>509.92294092999998</c:v>
                </c:pt>
                <c:pt idx="6">
                  <c:v>183.27862560999998</c:v>
                </c:pt>
              </c:numCache>
            </c:numRef>
          </c:val>
          <c:extLst xmlns:c16r2="http://schemas.microsoft.com/office/drawing/2015/06/chart">
            <c:ext xmlns:c16="http://schemas.microsoft.com/office/drawing/2014/chart" uri="{C3380CC4-5D6E-409C-BE32-E72D297353CC}">
              <c16:uniqueId val="{00000001-7311-45C4-8BAC-84410D731B28}"/>
            </c:ext>
          </c:extLst>
        </c:ser>
        <c:ser>
          <c:idx val="1"/>
          <c:order val="1"/>
          <c:tx>
            <c:strRef>
              <c:f>Sheet1!$A$3</c:f>
              <c:strCache>
                <c:ptCount val="1"/>
                <c:pt idx="0">
                  <c:v>2018</c:v>
                </c:pt>
              </c:strCache>
            </c:strRef>
          </c:tx>
          <c:spPr>
            <a:solidFill>
              <a:srgbClr val="4472C4"/>
            </a:solidFill>
            <a:ln w="12146">
              <a:solidFill>
                <a:srgbClr val="000000"/>
              </a:solidFill>
              <a:prstDash val="solid"/>
            </a:ln>
          </c:spPr>
          <c:invertIfNegative val="0"/>
          <c:dLbls>
            <c:dLbl>
              <c:idx val="0"/>
              <c:layout>
                <c:manualLayout>
                  <c:x val="0"/>
                  <c:y val="2.6343519494204493E-2"/>
                </c:manualLayout>
              </c:layout>
              <c:spPr>
                <a:noFill/>
                <a:ln w="24290">
                  <a:noFill/>
                </a:ln>
              </c:spPr>
              <c:txPr>
                <a:bodyPr/>
                <a:lstStyle/>
                <a:p>
                  <a:pPr>
                    <a:defRPr sz="600" b="1"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311-45C4-8BAC-84410D731B28}"/>
                </c:ext>
                <c:ext xmlns:c15="http://schemas.microsoft.com/office/drawing/2012/chart" uri="{CE6537A1-D6FC-4f65-9D91-7224C49458BB}"/>
              </c:extLst>
            </c:dLbl>
            <c:spPr>
              <a:noFill/>
              <a:ln w="24290">
                <a:noFill/>
              </a:ln>
            </c:spPr>
            <c:txPr>
              <a:bodyPr wrap="square" lIns="38100" tIns="19050" rIns="38100" bIns="19050" anchor="ctr">
                <a:spAutoFit/>
              </a:bodyPr>
              <a:lstStyle/>
              <a:p>
                <a:pPr>
                  <a:defRPr sz="600" b="1"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Sheet1!$B$1:$H$1</c:f>
              <c:strCache>
                <c:ptCount val="7"/>
                <c:pt idx="0">
                  <c:v>Maşini şi echipamente pentru transport</c:v>
                </c:pt>
                <c:pt idx="1">
                  <c:v>Mărfuri manufacturate, clasificate mai ales după materia primă</c:v>
                </c:pt>
                <c:pt idx="2">
                  <c:v>Combustibili minerali, lubrifianţi şi materiale derivate</c:v>
                </c:pt>
                <c:pt idx="3">
                  <c:v>Produse chimice şi produse derivate nespecificateîn altă parte</c:v>
                </c:pt>
                <c:pt idx="4">
                  <c:v>Articole manufacturate diverse</c:v>
                </c:pt>
                <c:pt idx="5">
                  <c:v>Produse alimentare şi animale vii</c:v>
                </c:pt>
                <c:pt idx="6">
                  <c:v>Alte grupe de mărfuri</c:v>
                </c:pt>
              </c:strCache>
            </c:strRef>
          </c:cat>
          <c:val>
            <c:numRef>
              <c:f>Sheet1!$B$3:$H$3</c:f>
              <c:numCache>
                <c:formatCode>#,##0.0</c:formatCode>
                <c:ptCount val="7"/>
                <c:pt idx="0">
                  <c:v>1387.9844348399999</c:v>
                </c:pt>
                <c:pt idx="1">
                  <c:v>1142.7460026900001</c:v>
                </c:pt>
                <c:pt idx="2">
                  <c:v>990.00118342999997</c:v>
                </c:pt>
                <c:pt idx="3">
                  <c:v>814.09605654000006</c:v>
                </c:pt>
                <c:pt idx="4">
                  <c:v>589.33953154999995</c:v>
                </c:pt>
                <c:pt idx="5">
                  <c:v>561.38572212000008</c:v>
                </c:pt>
                <c:pt idx="6">
                  <c:v>224.26682733999999</c:v>
                </c:pt>
              </c:numCache>
            </c:numRef>
          </c:val>
          <c:extLst xmlns:c16r2="http://schemas.microsoft.com/office/drawing/2015/06/chart">
            <c:ext xmlns:c16="http://schemas.microsoft.com/office/drawing/2014/chart" uri="{C3380CC4-5D6E-409C-BE32-E72D297353CC}">
              <c16:uniqueId val="{00000003-7311-45C4-8BAC-84410D731B28}"/>
            </c:ext>
          </c:extLst>
        </c:ser>
        <c:dLbls>
          <c:showLegendKey val="0"/>
          <c:showVal val="0"/>
          <c:showCatName val="0"/>
          <c:showSerName val="0"/>
          <c:showPercent val="0"/>
          <c:showBubbleSize val="0"/>
        </c:dLbls>
        <c:gapWidth val="150"/>
        <c:overlap val="-40"/>
        <c:axId val="484577552"/>
        <c:axId val="484579512"/>
      </c:barChart>
      <c:catAx>
        <c:axId val="484577552"/>
        <c:scaling>
          <c:orientation val="minMax"/>
        </c:scaling>
        <c:delete val="0"/>
        <c:axPos val="l"/>
        <c:numFmt formatCode="General" sourceLinked="1"/>
        <c:majorTickMark val="out"/>
        <c:minorTickMark val="none"/>
        <c:tickLblPos val="nextTo"/>
        <c:spPr>
          <a:ln w="3036">
            <a:solidFill>
              <a:srgbClr val="000000"/>
            </a:solidFill>
            <a:prstDash val="solid"/>
          </a:ln>
        </c:spPr>
        <c:txPr>
          <a:bodyPr rot="0" vert="horz"/>
          <a:lstStyle/>
          <a:p>
            <a:pPr>
              <a:defRPr sz="600" b="1"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crossAx val="484579512"/>
        <c:crosses val="autoZero"/>
        <c:auto val="1"/>
        <c:lblAlgn val="ctr"/>
        <c:lblOffset val="100"/>
        <c:tickLblSkip val="1"/>
        <c:tickMarkSkip val="1"/>
        <c:noMultiLvlLbl val="0"/>
      </c:catAx>
      <c:valAx>
        <c:axId val="484579512"/>
        <c:scaling>
          <c:orientation val="minMax"/>
          <c:max val="1300"/>
          <c:min val="0"/>
        </c:scaling>
        <c:delete val="0"/>
        <c:axPos val="b"/>
        <c:numFmt formatCode="0" sourceLinked="0"/>
        <c:majorTickMark val="out"/>
        <c:minorTickMark val="none"/>
        <c:tickLblPos val="nextTo"/>
        <c:spPr>
          <a:ln w="3036">
            <a:solidFill>
              <a:srgbClr val="000000"/>
            </a:solidFill>
            <a:prstDash val="solid"/>
          </a:ln>
        </c:spPr>
        <c:txPr>
          <a:bodyPr rot="0" vert="horz"/>
          <a:lstStyle/>
          <a:p>
            <a:pPr>
              <a:defRPr sz="598" b="1" i="0" u="none" strike="noStrike" baseline="0">
                <a:solidFill>
                  <a:srgbClr val="000000"/>
                </a:solidFill>
                <a:latin typeface="Arial"/>
                <a:ea typeface="Arial"/>
                <a:cs typeface="Arial"/>
              </a:defRPr>
            </a:pPr>
            <a:endParaRPr lang="en-US"/>
          </a:p>
        </c:txPr>
        <c:crossAx val="484577552"/>
        <c:crosses val="autoZero"/>
        <c:crossBetween val="between"/>
        <c:minorUnit val="10"/>
      </c:valAx>
      <c:spPr>
        <a:solidFill>
          <a:srgbClr val="FFFFFF"/>
        </a:solidFill>
        <a:ln w="24290">
          <a:noFill/>
        </a:ln>
      </c:spPr>
    </c:plotArea>
    <c:legend>
      <c:legendPos val="b"/>
      <c:layout>
        <c:manualLayout>
          <c:xMode val="edge"/>
          <c:yMode val="edge"/>
          <c:x val="0.30313006615498056"/>
          <c:y val="0.91769553805774273"/>
          <c:w val="0.55848447966086268"/>
          <c:h val="6.9958755155605581E-2"/>
        </c:manualLayout>
      </c:layout>
      <c:overlay val="0"/>
      <c:spPr>
        <a:noFill/>
        <a:ln w="3036">
          <a:solidFill>
            <a:srgbClr val="808080"/>
          </a:solidFill>
          <a:prstDash val="solid"/>
        </a:ln>
      </c:spPr>
      <c:txPr>
        <a:bodyPr/>
        <a:lstStyle/>
        <a:p>
          <a:pPr>
            <a:defRPr sz="600" b="1"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legend>
    <c:plotVisOnly val="1"/>
    <c:dispBlanksAs val="gap"/>
    <c:showDLblsOverMax val="0"/>
  </c:chart>
  <c:spPr>
    <a:noFill/>
    <a:ln>
      <a:noFill/>
    </a:ln>
  </c:spPr>
  <c:txPr>
    <a:bodyPr/>
    <a:lstStyle/>
    <a:p>
      <a:pPr>
        <a:defRPr sz="1028" b="1" i="0" u="none" strike="noStrike" baseline="0">
          <a:solidFill>
            <a:srgbClr val="000000"/>
          </a:solidFill>
          <a:latin typeface="Arial"/>
          <a:ea typeface="Arial"/>
          <a:cs typeface="Aria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Gradul de acoperire a cererii prin oferta</c:v>
                </c:pt>
              </c:strCache>
            </c:strRef>
          </c:tx>
          <c:spPr>
            <a:solidFill>
              <a:schemeClr val="accent1"/>
            </a:solidFill>
            <a:ln>
              <a:noFill/>
            </a:ln>
            <a:effectLst/>
          </c:spPr>
          <c:invertIfNegative val="0"/>
          <c:cat>
            <c:strRef>
              <c:f>Sheet1!$A$2:$A$14</c:f>
              <c:strCache>
                <c:ptCount val="13"/>
                <c:pt idx="0">
                  <c:v>dec. 2017</c:v>
                </c:pt>
                <c:pt idx="1">
                  <c:v>ian. 2018</c:v>
                </c:pt>
                <c:pt idx="2">
                  <c:v>feb.</c:v>
                </c:pt>
                <c:pt idx="3">
                  <c:v>mar.</c:v>
                </c:pt>
                <c:pt idx="4">
                  <c:v>apr.</c:v>
                </c:pt>
                <c:pt idx="5">
                  <c:v>mai</c:v>
                </c:pt>
                <c:pt idx="6">
                  <c:v>iun.</c:v>
                </c:pt>
                <c:pt idx="7">
                  <c:v>iul.</c:v>
                </c:pt>
                <c:pt idx="8">
                  <c:v>aug.</c:v>
                </c:pt>
                <c:pt idx="9">
                  <c:v>sep.</c:v>
                </c:pt>
                <c:pt idx="10">
                  <c:v>oct.</c:v>
                </c:pt>
                <c:pt idx="11">
                  <c:v>noiem.</c:v>
                </c:pt>
                <c:pt idx="12">
                  <c:v>dec.</c:v>
                </c:pt>
              </c:strCache>
            </c:strRef>
          </c:cat>
          <c:val>
            <c:numRef>
              <c:f>Sheet1!$B$2:$B$14</c:f>
              <c:numCache>
                <c:formatCode>0.0</c:formatCode>
                <c:ptCount val="13"/>
                <c:pt idx="0">
                  <c:v>114.73</c:v>
                </c:pt>
                <c:pt idx="1">
                  <c:v>117.21</c:v>
                </c:pt>
                <c:pt idx="2">
                  <c:v>98.31</c:v>
                </c:pt>
                <c:pt idx="3">
                  <c:v>117.46</c:v>
                </c:pt>
                <c:pt idx="4">
                  <c:v>88.73</c:v>
                </c:pt>
                <c:pt idx="5">
                  <c:v>93.76</c:v>
                </c:pt>
                <c:pt idx="6">
                  <c:v>106.46</c:v>
                </c:pt>
                <c:pt idx="7">
                  <c:v>125.05</c:v>
                </c:pt>
                <c:pt idx="8">
                  <c:v>103.25</c:v>
                </c:pt>
                <c:pt idx="9">
                  <c:v>114.2</c:v>
                </c:pt>
                <c:pt idx="10">
                  <c:v>102.15</c:v>
                </c:pt>
                <c:pt idx="11" formatCode="General">
                  <c:v>94.67</c:v>
                </c:pt>
                <c:pt idx="12" formatCode="0.00">
                  <c:v>73.37</c:v>
                </c:pt>
              </c:numCache>
            </c:numRef>
          </c:val>
          <c:extLst xmlns:c16r2="http://schemas.microsoft.com/office/drawing/2015/06/chart">
            <c:ext xmlns:c16="http://schemas.microsoft.com/office/drawing/2014/chart" uri="{C3380CC4-5D6E-409C-BE32-E72D297353CC}">
              <c16:uniqueId val="{00000000-8C07-4CE8-B5BF-CD038C9E72BB}"/>
            </c:ext>
          </c:extLst>
        </c:ser>
        <c:dLbls>
          <c:showLegendKey val="0"/>
          <c:showVal val="0"/>
          <c:showCatName val="0"/>
          <c:showSerName val="0"/>
          <c:showPercent val="0"/>
          <c:showBubbleSize val="0"/>
        </c:dLbls>
        <c:gapWidth val="219"/>
        <c:axId val="687720272"/>
        <c:axId val="687720664"/>
      </c:barChart>
      <c:lineChart>
        <c:grouping val="standard"/>
        <c:varyColors val="0"/>
        <c:ser>
          <c:idx val="1"/>
          <c:order val="1"/>
          <c:tx>
            <c:strRef>
              <c:f>Sheet1!$C$1</c:f>
              <c:strCache>
                <c:ptCount val="1"/>
                <c:pt idx="0">
                  <c:v>Cursul de schimb mediu lunar, MDL/USD (axa dreaptă)</c:v>
                </c:pt>
              </c:strCache>
            </c:strRef>
          </c:tx>
          <c:spPr>
            <a:ln w="28575" cap="rnd">
              <a:solidFill>
                <a:srgbClr val="4472C4">
                  <a:lumMod val="50000"/>
                </a:srgbClr>
              </a:solidFill>
              <a:prstDash val="dash"/>
              <a:round/>
            </a:ln>
            <a:effectLst/>
          </c:spPr>
          <c:marker>
            <c:symbol val="none"/>
          </c:marker>
          <c:dLbls>
            <c:dLbl>
              <c:idx val="1"/>
              <c:layout>
                <c:manualLayout>
                  <c:x val="-4.1356189172005689E-2"/>
                  <c:y val="-5.998770599771682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FB2-4AF6-AAFD-29C4EE0BD2EF}"/>
                </c:ext>
                <c:ext xmlns:c15="http://schemas.microsoft.com/office/drawing/2012/chart" uri="{CE6537A1-D6FC-4f65-9D91-7224C49458BB}"/>
              </c:extLst>
            </c:dLbl>
            <c:dLbl>
              <c:idx val="3"/>
              <c:layout>
                <c:manualLayout>
                  <c:x val="-3.928579579726451E-2"/>
                  <c:y val="-6.2466020743689565E-2"/>
                </c:manualLayout>
              </c:layout>
              <c:spPr>
                <a:noFill/>
                <a:ln>
                  <a:noFill/>
                </a:ln>
                <a:effectLst/>
              </c:spPr>
              <c:txPr>
                <a:bodyPr wrap="square" lIns="38100" tIns="19050" rIns="38100" bIns="19050" anchor="ctr">
                  <a:noAutofit/>
                </a:bodyPr>
                <a:lstStyle/>
                <a:p>
                  <a:pPr>
                    <a:defRPr b="1"/>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FB2-4AF6-AAFD-29C4EE0BD2EF}"/>
                </c:ext>
                <c:ext xmlns:c15="http://schemas.microsoft.com/office/drawing/2012/chart" uri="{CE6537A1-D6FC-4f65-9D91-7224C49458BB}">
                  <c15:layout>
                    <c:manualLayout>
                      <c:w val="5.9937888198757762E-2"/>
                      <c:h val="0.10014889402765176"/>
                    </c:manualLayout>
                  </c15:layout>
                </c:ext>
              </c:extLst>
            </c:dLbl>
            <c:dLbl>
              <c:idx val="4"/>
              <c:layout>
                <c:manualLayout>
                  <c:x val="-4.3426582546746875E-2"/>
                  <c:y val="-3.52045585379894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FB2-4AF6-AAFD-29C4EE0BD2EF}"/>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b="1"/>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Sheet1!$A$2:$A$14</c:f>
              <c:strCache>
                <c:ptCount val="13"/>
                <c:pt idx="0">
                  <c:v>dec. 2017</c:v>
                </c:pt>
                <c:pt idx="1">
                  <c:v>ian. 2018</c:v>
                </c:pt>
                <c:pt idx="2">
                  <c:v>feb.</c:v>
                </c:pt>
                <c:pt idx="3">
                  <c:v>mar.</c:v>
                </c:pt>
                <c:pt idx="4">
                  <c:v>apr.</c:v>
                </c:pt>
                <c:pt idx="5">
                  <c:v>mai</c:v>
                </c:pt>
                <c:pt idx="6">
                  <c:v>iun.</c:v>
                </c:pt>
                <c:pt idx="7">
                  <c:v>iul.</c:v>
                </c:pt>
                <c:pt idx="8">
                  <c:v>aug.</c:v>
                </c:pt>
                <c:pt idx="9">
                  <c:v>sep.</c:v>
                </c:pt>
                <c:pt idx="10">
                  <c:v>oct.</c:v>
                </c:pt>
                <c:pt idx="11">
                  <c:v>noiem.</c:v>
                </c:pt>
                <c:pt idx="12">
                  <c:v>dec.</c:v>
                </c:pt>
              </c:strCache>
            </c:strRef>
          </c:cat>
          <c:val>
            <c:numRef>
              <c:f>Sheet1!$C$2:$C$14</c:f>
              <c:numCache>
                <c:formatCode>0.00</c:formatCode>
                <c:ptCount val="13"/>
                <c:pt idx="0">
                  <c:v>17.183199999999999</c:v>
                </c:pt>
                <c:pt idx="1">
                  <c:v>16.961500000000001</c:v>
                </c:pt>
                <c:pt idx="2">
                  <c:v>16.679500000000001</c:v>
                </c:pt>
                <c:pt idx="3">
                  <c:v>16.594200000000001</c:v>
                </c:pt>
                <c:pt idx="4">
                  <c:v>16.437000000000001</c:v>
                </c:pt>
                <c:pt idx="5">
                  <c:v>16.668500000000002</c:v>
                </c:pt>
                <c:pt idx="6">
                  <c:v>16.862100000000002</c:v>
                </c:pt>
                <c:pt idx="7">
                  <c:v>16.697199999999999</c:v>
                </c:pt>
                <c:pt idx="8">
                  <c:v>16.6082</c:v>
                </c:pt>
                <c:pt idx="9">
                  <c:v>16.775400000000001</c:v>
                </c:pt>
                <c:pt idx="10">
                  <c:v>17.001799999999999</c:v>
                </c:pt>
                <c:pt idx="11">
                  <c:v>17.1128</c:v>
                </c:pt>
                <c:pt idx="12">
                  <c:v>17.226400000000002</c:v>
                </c:pt>
              </c:numCache>
            </c:numRef>
          </c:val>
          <c:smooth val="0"/>
          <c:extLst xmlns:c16r2="http://schemas.microsoft.com/office/drawing/2015/06/chart">
            <c:ext xmlns:c16="http://schemas.microsoft.com/office/drawing/2014/chart" uri="{C3380CC4-5D6E-409C-BE32-E72D297353CC}">
              <c16:uniqueId val="{00000001-8C07-4CE8-B5BF-CD038C9E72BB}"/>
            </c:ext>
          </c:extLst>
        </c:ser>
        <c:dLbls>
          <c:showLegendKey val="0"/>
          <c:showVal val="0"/>
          <c:showCatName val="0"/>
          <c:showSerName val="0"/>
          <c:showPercent val="0"/>
          <c:showBubbleSize val="0"/>
        </c:dLbls>
        <c:marker val="1"/>
        <c:smooth val="0"/>
        <c:axId val="687721448"/>
        <c:axId val="687721056"/>
      </c:lineChart>
      <c:catAx>
        <c:axId val="68772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720664"/>
        <c:crosses val="autoZero"/>
        <c:auto val="1"/>
        <c:lblAlgn val="ctr"/>
        <c:lblOffset val="100"/>
        <c:noMultiLvlLbl val="0"/>
      </c:catAx>
      <c:valAx>
        <c:axId val="687720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720272"/>
        <c:crosses val="autoZero"/>
        <c:crossBetween val="between"/>
      </c:valAx>
      <c:valAx>
        <c:axId val="687721056"/>
        <c:scaling>
          <c:orientation val="minMax"/>
          <c:max val="18.5"/>
          <c:min val="15.5"/>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721448"/>
        <c:crosses val="max"/>
        <c:crossBetween val="between"/>
      </c:valAx>
      <c:catAx>
        <c:axId val="687721448"/>
        <c:scaling>
          <c:orientation val="minMax"/>
        </c:scaling>
        <c:delete val="1"/>
        <c:axPos val="b"/>
        <c:numFmt formatCode="General" sourceLinked="1"/>
        <c:majorTickMark val="out"/>
        <c:minorTickMark val="none"/>
        <c:tickLblPos val="nextTo"/>
        <c:crossAx val="68772105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0658141416533457E-2"/>
          <c:y val="8.0165345185510356E-2"/>
          <c:w val="0.9578005115089514"/>
          <c:h val="0.61328552680914883"/>
        </c:manualLayout>
      </c:layout>
      <c:barChart>
        <c:barDir val="col"/>
        <c:grouping val="clustered"/>
        <c:varyColors val="0"/>
        <c:ser>
          <c:idx val="0"/>
          <c:order val="0"/>
          <c:tx>
            <c:strRef>
              <c:f>Sheet1!$A$2</c:f>
              <c:strCache>
                <c:ptCount val="1"/>
                <c:pt idx="0">
                  <c:v>Cumpărări</c:v>
                </c:pt>
              </c:strCache>
            </c:strRef>
          </c:tx>
          <c:spPr>
            <a:solidFill>
              <a:srgbClr val="5B9BD5">
                <a:lumMod val="75000"/>
              </a:srgbClr>
            </a:solidFill>
            <a:ln>
              <a:noFill/>
            </a:ln>
            <a:effectLst/>
          </c:spPr>
          <c:invertIfNegative val="0"/>
          <c:dLbls>
            <c:dLbl>
              <c:idx val="0"/>
              <c:layout>
                <c:manualLayout>
                  <c:x val="1.9723200066407154E-3"/>
                  <c:y val="8.7065994964998783E-3"/>
                </c:manualLayout>
              </c:layout>
              <c:spPr>
                <a:noFill/>
                <a:ln w="25438">
                  <a:noFill/>
                </a:ln>
                <a:effectLst/>
              </c:spPr>
              <c:txPr>
                <a:bodyPr rot="0" spcFirstLastPara="1" vertOverflow="ellipsis" vert="horz" wrap="square" anchor="ctr" anchorCtr="1"/>
                <a:lstStyle/>
                <a:p>
                  <a:pPr>
                    <a:defRPr sz="900" b="1" i="0" u="none" strike="noStrike" kern="1200" baseline="0">
                      <a:solidFill>
                        <a:srgbClr val="000000"/>
                      </a:solidFill>
                      <a:latin typeface="Arial Cyr"/>
                      <a:ea typeface="Arial Cyr"/>
                      <a:cs typeface="Arial Cyr"/>
                    </a:defRPr>
                  </a:pPr>
                  <a:endParaRPr lang="en-US"/>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B81-42AF-93CB-5F15B0CE2FCE}"/>
                </c:ext>
                <c:ext xmlns:c15="http://schemas.microsoft.com/office/drawing/2012/chart" uri="{CE6537A1-D6FC-4f65-9D91-7224C49458BB}"/>
              </c:extLst>
            </c:dLbl>
            <c:dLbl>
              <c:idx val="1"/>
              <c:layout>
                <c:manualLayout>
                  <c:x val="1.5558065000925714E-4"/>
                  <c:y val="2.3967733183783979E-3"/>
                </c:manualLayout>
              </c:layout>
              <c:spPr>
                <a:noFill/>
                <a:ln w="25438">
                  <a:noFill/>
                </a:ln>
                <a:effectLst/>
              </c:spPr>
              <c:txPr>
                <a:bodyPr rot="0" spcFirstLastPara="1" vertOverflow="ellipsis" vert="horz" wrap="square" anchor="ctr" anchorCtr="1"/>
                <a:lstStyle/>
                <a:p>
                  <a:pPr>
                    <a:defRPr sz="900" b="1" i="0" u="none" strike="noStrike" kern="1200" baseline="0">
                      <a:solidFill>
                        <a:srgbClr val="000000"/>
                      </a:solidFill>
                      <a:latin typeface="Arial Cyr"/>
                      <a:ea typeface="Arial Cyr"/>
                      <a:cs typeface="Arial Cyr"/>
                    </a:defRPr>
                  </a:pPr>
                  <a:endParaRPr lang="en-US"/>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B81-42AF-93CB-5F15B0CE2FCE}"/>
                </c:ext>
                <c:ext xmlns:c15="http://schemas.microsoft.com/office/drawing/2012/chart" uri="{CE6537A1-D6FC-4f65-9D91-7224C49458BB}"/>
              </c:extLst>
            </c:dLbl>
            <c:dLbl>
              <c:idx val="2"/>
              <c:layout>
                <c:manualLayout>
                  <c:x val="4.7325387328333579E-3"/>
                  <c:y val="-8.7806504024134924E-4"/>
                </c:manualLayout>
              </c:layout>
              <c:spPr>
                <a:noFill/>
                <a:ln w="25438">
                  <a:noFill/>
                </a:ln>
                <a:effectLst/>
              </c:spPr>
              <c:txPr>
                <a:bodyPr rot="0" spcFirstLastPara="1" vertOverflow="ellipsis" vert="horz" wrap="square" anchor="ctr" anchorCtr="1"/>
                <a:lstStyle/>
                <a:p>
                  <a:pPr>
                    <a:defRPr sz="900" b="1" i="0" u="none" strike="noStrike" kern="1200" baseline="0">
                      <a:solidFill>
                        <a:srgbClr val="000000"/>
                      </a:solidFill>
                      <a:latin typeface="Arial Cyr"/>
                      <a:ea typeface="Arial Cyr"/>
                      <a:cs typeface="Arial Cyr"/>
                    </a:defRPr>
                  </a:pPr>
                  <a:endParaRPr lang="en-US"/>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B81-42AF-93CB-5F15B0CE2FCE}"/>
                </c:ext>
                <c:ext xmlns:c15="http://schemas.microsoft.com/office/drawing/2012/chart" uri="{CE6537A1-D6FC-4f65-9D91-7224C49458BB}"/>
              </c:extLst>
            </c:dLbl>
            <c:dLbl>
              <c:idx val="3"/>
              <c:layout>
                <c:manualLayout>
                  <c:x val="2.9157993762020107E-3"/>
                  <c:y val="-8.7806504024134924E-4"/>
                </c:manualLayout>
              </c:layout>
              <c:spPr>
                <a:noFill/>
                <a:ln w="25438">
                  <a:noFill/>
                </a:ln>
                <a:effectLst/>
              </c:spPr>
              <c:txPr>
                <a:bodyPr rot="0" spcFirstLastPara="1" vertOverflow="ellipsis" vert="horz" wrap="square" anchor="ctr" anchorCtr="1"/>
                <a:lstStyle/>
                <a:p>
                  <a:pPr>
                    <a:defRPr sz="900" b="1" i="0" u="none" strike="noStrike" kern="1200" baseline="0">
                      <a:solidFill>
                        <a:srgbClr val="000000"/>
                      </a:solidFill>
                      <a:latin typeface="Arial Cyr"/>
                      <a:ea typeface="Arial Cyr"/>
                      <a:cs typeface="Arial Cyr"/>
                    </a:defRPr>
                  </a:pPr>
                  <a:endParaRPr lang="en-US"/>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B81-42AF-93CB-5F15B0CE2FCE}"/>
                </c:ext>
                <c:ext xmlns:c15="http://schemas.microsoft.com/office/drawing/2012/chart" uri="{CE6537A1-D6FC-4f65-9D91-7224C49458BB}"/>
              </c:extLst>
            </c:dLbl>
            <c:dLbl>
              <c:idx val="4"/>
              <c:layout>
                <c:manualLayout>
                  <c:x val="2.2199527690617621E-3"/>
                  <c:y val="7.4435055374175788E-3"/>
                </c:manualLayout>
              </c:layout>
              <c:spPr>
                <a:noFill/>
                <a:ln w="25438">
                  <a:noFill/>
                </a:ln>
                <a:effectLst/>
              </c:spPr>
              <c:txPr>
                <a:bodyPr rot="0" spcFirstLastPara="1" vertOverflow="ellipsis" vert="horz" wrap="square" anchor="ctr" anchorCtr="1"/>
                <a:lstStyle/>
                <a:p>
                  <a:pPr>
                    <a:defRPr sz="900" b="1" i="0" u="none" strike="noStrike" kern="1200" baseline="0">
                      <a:solidFill>
                        <a:srgbClr val="000000"/>
                      </a:solidFill>
                      <a:latin typeface="Arial Cyr"/>
                      <a:ea typeface="Arial Cyr"/>
                      <a:cs typeface="Arial Cyr"/>
                    </a:defRPr>
                  </a:pPr>
                  <a:endParaRPr lang="en-US"/>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B81-42AF-93CB-5F15B0CE2FCE}"/>
                </c:ext>
                <c:ext xmlns:c15="http://schemas.microsoft.com/office/drawing/2012/chart" uri="{CE6537A1-D6FC-4f65-9D91-7224C49458BB}"/>
              </c:extLst>
            </c:dLbl>
            <c:dLbl>
              <c:idx val="5"/>
              <c:layout>
                <c:manualLayout>
                  <c:x val="4.397081270750558E-3"/>
                  <c:y val="-9.7304667183297777E-3"/>
                </c:manualLayout>
              </c:layout>
              <c:spPr>
                <a:noFill/>
                <a:ln w="25438">
                  <a:noFill/>
                </a:ln>
                <a:effectLst/>
              </c:spPr>
              <c:txPr>
                <a:bodyPr rot="0" spcFirstLastPara="1" vertOverflow="ellipsis" vert="horz" wrap="square" anchor="ctr" anchorCtr="1"/>
                <a:lstStyle/>
                <a:p>
                  <a:pPr>
                    <a:defRPr sz="900" b="1" i="0" u="none" strike="noStrike" kern="1200" baseline="0">
                      <a:solidFill>
                        <a:srgbClr val="000000"/>
                      </a:solidFill>
                      <a:latin typeface="Arial Cyr"/>
                      <a:ea typeface="Arial Cyr"/>
                      <a:cs typeface="Arial Cyr"/>
                    </a:defRPr>
                  </a:pPr>
                  <a:endParaRPr lang="en-US"/>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B81-42AF-93CB-5F15B0CE2FCE}"/>
                </c:ext>
                <c:ext xmlns:c15="http://schemas.microsoft.com/office/drawing/2012/chart" uri="{CE6537A1-D6FC-4f65-9D91-7224C49458BB}"/>
              </c:extLst>
            </c:dLbl>
            <c:dLbl>
              <c:idx val="6"/>
              <c:layout>
                <c:manualLayout>
                  <c:x val="3.8296199817128124E-3"/>
                  <c:y val="2.3604442737340758E-2"/>
                </c:manualLayout>
              </c:layout>
              <c:spPr>
                <a:noFill/>
                <a:ln w="25438">
                  <a:noFill/>
                </a:ln>
                <a:effectLst/>
              </c:spPr>
              <c:txPr>
                <a:bodyPr rot="0" spcFirstLastPara="1" vertOverflow="ellipsis" vert="horz" wrap="square" anchor="ctr" anchorCtr="1"/>
                <a:lstStyle/>
                <a:p>
                  <a:pPr>
                    <a:defRPr sz="900" b="1" i="0" u="none" strike="noStrike" kern="1200" baseline="0">
                      <a:solidFill>
                        <a:srgbClr val="000000"/>
                      </a:solidFill>
                      <a:latin typeface="Arial Cyr"/>
                      <a:ea typeface="Arial Cyr"/>
                      <a:cs typeface="Arial Cyr"/>
                    </a:defRPr>
                  </a:pPr>
                  <a:endParaRPr lang="en-US"/>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B81-42AF-93CB-5F15B0CE2FCE}"/>
                </c:ext>
                <c:ext xmlns:c15="http://schemas.microsoft.com/office/drawing/2012/chart" uri="{CE6537A1-D6FC-4f65-9D91-7224C49458BB}"/>
              </c:extLst>
            </c:dLbl>
            <c:dLbl>
              <c:idx val="7"/>
              <c:layout>
                <c:manualLayout>
                  <c:x val="-3.102420028294528E-3"/>
                  <c:y val="-9.8236918619217795E-3"/>
                </c:manualLayout>
              </c:layout>
              <c:spPr>
                <a:noFill/>
                <a:ln w="25438">
                  <a:noFill/>
                </a:ln>
                <a:effectLst/>
              </c:spPr>
              <c:txPr>
                <a:bodyPr rot="0" spcFirstLastPara="1" vertOverflow="ellipsis" vert="horz" wrap="square" anchor="ctr" anchorCtr="1"/>
                <a:lstStyle/>
                <a:p>
                  <a:pPr>
                    <a:defRPr sz="900" b="1" i="0" u="none" strike="noStrike" kern="1200" baseline="0">
                      <a:solidFill>
                        <a:srgbClr val="000000"/>
                      </a:solidFill>
                      <a:latin typeface="Arial Cyr"/>
                      <a:ea typeface="Arial Cyr"/>
                      <a:cs typeface="Arial Cyr"/>
                    </a:defRPr>
                  </a:pPr>
                  <a:endParaRPr lang="en-US"/>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B81-42AF-93CB-5F15B0CE2FCE}"/>
                </c:ext>
                <c:ext xmlns:c15="http://schemas.microsoft.com/office/drawing/2012/chart" uri="{CE6537A1-D6FC-4f65-9D91-7224C49458BB}"/>
              </c:extLst>
            </c:dLbl>
            <c:dLbl>
              <c:idx val="8"/>
              <c:layout>
                <c:manualLayout>
                  <c:x val="4.032247264690203E-3"/>
                  <c:y val="7.375424210834397E-3"/>
                </c:manualLayout>
              </c:layout>
              <c:numFmt formatCode="0.0" sourceLinked="0"/>
              <c:spPr>
                <a:noFill/>
                <a:ln w="25438">
                  <a:noFill/>
                </a:ln>
                <a:effectLst/>
              </c:spPr>
              <c:txPr>
                <a:bodyPr rot="0" spcFirstLastPara="1" vertOverflow="ellipsis" vert="horz" wrap="square" anchor="ctr" anchorCtr="1"/>
                <a:lstStyle/>
                <a:p>
                  <a:pPr>
                    <a:defRPr sz="900" b="1" i="0" u="none" strike="noStrike" kern="1200" baseline="0">
                      <a:solidFill>
                        <a:srgbClr val="000000"/>
                      </a:solidFill>
                      <a:latin typeface="Arial Cyr"/>
                      <a:ea typeface="Arial Cyr"/>
                      <a:cs typeface="Arial Cyr"/>
                    </a:defRPr>
                  </a:pPr>
                  <a:endParaRPr lang="en-US"/>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B81-42AF-93CB-5F15B0CE2FCE}"/>
                </c:ext>
                <c:ext xmlns:c15="http://schemas.microsoft.com/office/drawing/2012/chart" uri="{CE6537A1-D6FC-4f65-9D91-7224C49458BB}"/>
              </c:extLst>
            </c:dLbl>
            <c:dLbl>
              <c:idx val="9"/>
              <c:layout>
                <c:manualLayout>
                  <c:x val="4.7728882119645322E-3"/>
                  <c:y val="-2.7648579633830384E-2"/>
                </c:manualLayout>
              </c:layout>
              <c:numFmt formatCode="0.0" sourceLinked="0"/>
              <c:spPr>
                <a:noFill/>
                <a:ln w="25438">
                  <a:noFill/>
                </a:ln>
                <a:effectLst/>
              </c:spPr>
              <c:txPr>
                <a:bodyPr rot="0" spcFirstLastPara="1" vertOverflow="ellipsis" vert="horz" wrap="square" anchor="ctr" anchorCtr="1"/>
                <a:lstStyle/>
                <a:p>
                  <a:pPr>
                    <a:defRPr sz="900" b="1" i="0" u="none" strike="noStrike" kern="1200" baseline="0">
                      <a:solidFill>
                        <a:srgbClr val="000000"/>
                      </a:solidFill>
                      <a:latin typeface="Arial Cyr"/>
                      <a:ea typeface="Arial Cyr"/>
                      <a:cs typeface="Arial Cyr"/>
                    </a:defRPr>
                  </a:pPr>
                  <a:endParaRPr lang="en-US"/>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7B81-42AF-93CB-5F15B0CE2FCE}"/>
                </c:ext>
                <c:ext xmlns:c15="http://schemas.microsoft.com/office/drawing/2012/chart" uri="{CE6537A1-D6FC-4f65-9D91-7224C49458BB}"/>
              </c:extLst>
            </c:dLbl>
            <c:dLbl>
              <c:idx val="13"/>
              <c:layout>
                <c:manualLayout>
                  <c:x val="-4.11324720576558E-2"/>
                  <c:y val="-0.18303476841752608"/>
                </c:manualLayout>
              </c:layout>
              <c:spPr>
                <a:noFill/>
                <a:ln w="25438">
                  <a:noFill/>
                </a:ln>
                <a:effectLst/>
              </c:spPr>
              <c:txPr>
                <a:bodyPr rot="0" spcFirstLastPara="1" vertOverflow="ellipsis" vert="horz" wrap="square" anchor="ctr" anchorCtr="1"/>
                <a:lstStyle/>
                <a:p>
                  <a:pPr>
                    <a:defRPr sz="900" b="1" i="0" u="none" strike="noStrike" kern="1200" baseline="0">
                      <a:solidFill>
                        <a:srgbClr val="000000"/>
                      </a:solidFill>
                      <a:latin typeface="Arial Cyr"/>
                      <a:ea typeface="Arial Cyr"/>
                      <a:cs typeface="Arial Cyr"/>
                    </a:defRPr>
                  </a:pPr>
                  <a:endParaRPr lang="en-US"/>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7B81-42AF-93CB-5F15B0CE2FCE}"/>
                </c:ext>
                <c:ext xmlns:c15="http://schemas.microsoft.com/office/drawing/2012/chart" uri="{CE6537A1-D6FC-4f65-9D91-7224C49458BB}"/>
              </c:extLst>
            </c:dLbl>
            <c:spPr>
              <a:noFill/>
              <a:ln w="25438">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0000"/>
                    </a:solidFill>
                    <a:latin typeface="Arial Cyr"/>
                    <a:ea typeface="Arial Cyr"/>
                    <a:cs typeface="Arial Cy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Sheet1!$B$1:$N$1</c:f>
              <c:strCache>
                <c:ptCount val="13"/>
                <c:pt idx="0">
                  <c:v>Ian. 2018</c:v>
                </c:pt>
                <c:pt idx="1">
                  <c:v>Feb. </c:v>
                </c:pt>
                <c:pt idx="2">
                  <c:v>Mar.</c:v>
                </c:pt>
                <c:pt idx="3">
                  <c:v>Apr.</c:v>
                </c:pt>
                <c:pt idx="4">
                  <c:v>Mai</c:v>
                </c:pt>
                <c:pt idx="5">
                  <c:v>Iun.</c:v>
                </c:pt>
                <c:pt idx="6">
                  <c:v>Iul. </c:v>
                </c:pt>
                <c:pt idx="7">
                  <c:v>Aug.</c:v>
                </c:pt>
                <c:pt idx="8">
                  <c:v>Sep.</c:v>
                </c:pt>
                <c:pt idx="9">
                  <c:v>Oct.</c:v>
                </c:pt>
                <c:pt idx="10">
                  <c:v>Noiem.</c:v>
                </c:pt>
                <c:pt idx="11">
                  <c:v>Dec.</c:v>
                </c:pt>
                <c:pt idx="12">
                  <c:v>Ian. 2019</c:v>
                </c:pt>
              </c:strCache>
            </c:strRef>
          </c:cat>
          <c:val>
            <c:numRef>
              <c:f>Sheet1!$B$2:$N$2</c:f>
              <c:numCache>
                <c:formatCode>0.0</c:formatCode>
                <c:ptCount val="13"/>
                <c:pt idx="0">
                  <c:v>101</c:v>
                </c:pt>
                <c:pt idx="1">
                  <c:v>41.6</c:v>
                </c:pt>
                <c:pt idx="2">
                  <c:v>19.899999999999999</c:v>
                </c:pt>
                <c:pt idx="3">
                  <c:v>11</c:v>
                </c:pt>
                <c:pt idx="4">
                  <c:v>10.1</c:v>
                </c:pt>
                <c:pt idx="5">
                  <c:v>20</c:v>
                </c:pt>
                <c:pt idx="6">
                  <c:v>51</c:v>
                </c:pt>
                <c:pt idx="7">
                  <c:v>26</c:v>
                </c:pt>
                <c:pt idx="8">
                  <c:v>52.8</c:v>
                </c:pt>
                <c:pt idx="9">
                  <c:v>41.8</c:v>
                </c:pt>
                <c:pt idx="10">
                  <c:v>7.3</c:v>
                </c:pt>
                <c:pt idx="11">
                  <c:v>14.9</c:v>
                </c:pt>
                <c:pt idx="12">
                  <c:v>0</c:v>
                </c:pt>
              </c:numCache>
            </c:numRef>
          </c:val>
          <c:extLst xmlns:c16r2="http://schemas.microsoft.com/office/drawing/2015/06/chart">
            <c:ext xmlns:c16="http://schemas.microsoft.com/office/drawing/2014/chart" uri="{C3380CC4-5D6E-409C-BE32-E72D297353CC}">
              <c16:uniqueId val="{0000000B-7B81-42AF-93CB-5F15B0CE2FCE}"/>
            </c:ext>
          </c:extLst>
        </c:ser>
        <c:ser>
          <c:idx val="1"/>
          <c:order val="1"/>
          <c:tx>
            <c:strRef>
              <c:f>Sheet1!$A$3</c:f>
              <c:strCache>
                <c:ptCount val="1"/>
                <c:pt idx="0">
                  <c:v>Vînzări</c:v>
                </c:pt>
              </c:strCache>
            </c:strRef>
          </c:tx>
          <c:spPr>
            <a:pattFill prst="dkUpDiag">
              <a:fgClr>
                <a:srgbClr val="4472C4"/>
              </a:fgClr>
              <a:bgClr>
                <a:sysClr val="window" lastClr="FFFFFF"/>
              </a:bgClr>
            </a:pattFill>
            <a:ln>
              <a:solidFill>
                <a:srgbClr val="5B9BD5"/>
              </a:solidFill>
            </a:ln>
            <a:effectLst/>
          </c:spPr>
          <c:invertIfNegative val="0"/>
          <c:dLbls>
            <c:dLbl>
              <c:idx val="0"/>
              <c:layout>
                <c:manualLayout>
                  <c:x val="0"/>
                  <c:y val="6.604689119742384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7B81-42AF-93CB-5F15B0CE2FCE}"/>
                </c:ext>
                <c:ext xmlns:c15="http://schemas.microsoft.com/office/drawing/2012/chart" uri="{CE6537A1-D6FC-4f65-9D91-7224C49458BB}"/>
              </c:extLst>
            </c:dLbl>
            <c:dLbl>
              <c:idx val="1"/>
              <c:layout>
                <c:manualLayout>
                  <c:x val="4.1771094402673348E-3"/>
                  <c:y val="8.638211382113820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7B81-42AF-93CB-5F15B0CE2FCE}"/>
                </c:ext>
                <c:ext xmlns:c15="http://schemas.microsoft.com/office/drawing/2012/chart" uri="{CE6537A1-D6FC-4f65-9D91-7224C49458BB}"/>
              </c:extLst>
            </c:dLbl>
            <c:dLbl>
              <c:idx val="2"/>
              <c:layout>
                <c:manualLayout>
                  <c:x val="-2.3995200959808479E-3"/>
                  <c:y val="3.173006048835277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7B81-42AF-93CB-5F15B0CE2FCE}"/>
                </c:ext>
                <c:ext xmlns:c15="http://schemas.microsoft.com/office/drawing/2012/chart" uri="{CE6537A1-D6FC-4f65-9D91-7224C49458BB}"/>
              </c:extLst>
            </c:dLbl>
            <c:dLbl>
              <c:idx val="3"/>
              <c:layout>
                <c:manualLayout>
                  <c:x val="7.1985602879424118E-3"/>
                  <c:y val="1.478859260239614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7B81-42AF-93CB-5F15B0CE2FCE}"/>
                </c:ext>
                <c:ext xmlns:c15="http://schemas.microsoft.com/office/drawing/2012/chart" uri="{CE6537A1-D6FC-4f65-9D91-7224C49458BB}"/>
              </c:extLst>
            </c:dLbl>
            <c:dLbl>
              <c:idx val="4"/>
              <c:layout>
                <c:manualLayout>
                  <c:x val="0"/>
                  <c:y val="7.22060477734400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7B81-42AF-93CB-5F15B0CE2FCE}"/>
                </c:ext>
                <c:ext xmlns:c15="http://schemas.microsoft.com/office/drawing/2012/chart" uri="{CE6537A1-D6FC-4f65-9D91-7224C49458BB}"/>
              </c:extLst>
            </c:dLbl>
            <c:dLbl>
              <c:idx val="5"/>
              <c:layout>
                <c:manualLayout>
                  <c:x val="6.1550524540760262E-3"/>
                  <c:y val="7.477447671982169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7B81-42AF-93CB-5F15B0CE2FCE}"/>
                </c:ext>
                <c:ext xmlns:c15="http://schemas.microsoft.com/office/drawing/2012/chart" uri="{CE6537A1-D6FC-4f65-9D91-7224C49458BB}"/>
              </c:extLst>
            </c:dLbl>
            <c:dLbl>
              <c:idx val="6"/>
              <c:layout>
                <c:manualLayout>
                  <c:x val="3.8632273545290063E-3"/>
                  <c:y val="8.00256585573862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7B81-42AF-93CB-5F15B0CE2FCE}"/>
                </c:ext>
                <c:ext xmlns:c15="http://schemas.microsoft.com/office/drawing/2012/chart" uri="{CE6537A1-D6FC-4f65-9D91-7224C49458BB}"/>
              </c:extLst>
            </c:dLbl>
            <c:dLbl>
              <c:idx val="7"/>
              <c:layout>
                <c:manualLayout>
                  <c:x val="8.3542188805346695E-3"/>
                  <c:y val="9.146341463414633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7B81-42AF-93CB-5F15B0CE2FCE}"/>
                </c:ext>
                <c:ext xmlns:c15="http://schemas.microsoft.com/office/drawing/2012/chart" uri="{CE6537A1-D6FC-4f65-9D91-7224C49458BB}"/>
              </c:extLst>
            </c:dLbl>
            <c:dLbl>
              <c:idx val="8"/>
              <c:layout>
                <c:manualLayout>
                  <c:x val="1.4667302759919577E-3"/>
                  <c:y val="8.93627267179837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7B81-42AF-93CB-5F15B0CE2FCE}"/>
                </c:ext>
                <c:ext xmlns:c15="http://schemas.microsoft.com/office/drawing/2012/chart" uri="{CE6537A1-D6FC-4f65-9D91-7224C49458BB}"/>
              </c:extLst>
            </c:dLbl>
            <c:dLbl>
              <c:idx val="9"/>
              <c:layout>
                <c:manualLayout>
                  <c:x val="-1.763174924070392E-3"/>
                  <c:y val="1.512494761684201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7B81-42AF-93CB-5F15B0CE2FCE}"/>
                </c:ext>
                <c:ext xmlns:c15="http://schemas.microsoft.com/office/drawing/2012/chart" uri="{CE6537A1-D6FC-4f65-9D91-7224C49458BB}"/>
              </c:extLst>
            </c:dLbl>
            <c:dLbl>
              <c:idx val="10"/>
              <c:layout>
                <c:manualLayout>
                  <c:x val="-1.1512217241591145E-2"/>
                  <c:y val="1.4841894763155462E-3"/>
                </c:manualLayout>
              </c:layout>
              <c:spPr>
                <a:noFill/>
                <a:ln>
                  <a:noFill/>
                </a:ln>
                <a:effectLst/>
              </c:spPr>
              <c:txPr>
                <a:bodyPr rot="0" spcFirstLastPara="1" vertOverflow="ellipsis" vert="horz" wrap="square" lIns="38100" tIns="19050" rIns="38100" bIns="19050" anchor="ctr" anchorCtr="1">
                  <a:noAutofit/>
                </a:bodyPr>
                <a:lstStyle/>
                <a:p>
                  <a:pPr>
                    <a:defRPr sz="900" b="0" i="1" u="none" strike="noStrike" kern="1200" baseline="0">
                      <a:solidFill>
                        <a:srgbClr val="000000"/>
                      </a:solidFill>
                      <a:latin typeface="Arial Cyr"/>
                      <a:ea typeface="Arial Cyr"/>
                      <a:cs typeface="Arial Cyr"/>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7B81-42AF-93CB-5F15B0CE2FCE}"/>
                </c:ext>
                <c:ext xmlns:c15="http://schemas.microsoft.com/office/drawing/2012/chart" uri="{CE6537A1-D6FC-4f65-9D91-7224C49458BB}">
                  <c15:layout>
                    <c:manualLayout>
                      <c:w val="6.8734536557255463E-2"/>
                      <c:h val="8.2819426983391772E-2"/>
                    </c:manualLayout>
                  </c15:layout>
                </c:ext>
              </c:extLst>
            </c:dLbl>
            <c:dLbl>
              <c:idx val="11"/>
              <c:layout>
                <c:manualLayout>
                  <c:x val="2.6762212277422156E-3"/>
                  <c:y val="1.843878890138732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7B81-42AF-93CB-5F15B0CE2FCE}"/>
                </c:ext>
                <c:ext xmlns:c15="http://schemas.microsoft.com/office/drawing/2012/chart" uri="{CE6537A1-D6FC-4f65-9D91-7224C49458BB}"/>
              </c:extLst>
            </c:dLbl>
            <c:dLbl>
              <c:idx val="12"/>
              <c:layout>
                <c:manualLayout>
                  <c:x val="0"/>
                  <c:y val="3.195069366329208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7B81-42AF-93CB-5F15B0CE2FC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1" u="none" strike="noStrike" kern="1200" baseline="0">
                    <a:solidFill>
                      <a:srgbClr val="000000"/>
                    </a:solidFill>
                    <a:latin typeface="Arial Cyr"/>
                    <a:ea typeface="Arial Cyr"/>
                    <a:cs typeface="Arial Cy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Sheet1!$B$1:$N$1</c:f>
              <c:strCache>
                <c:ptCount val="13"/>
                <c:pt idx="0">
                  <c:v>Ian. 2018</c:v>
                </c:pt>
                <c:pt idx="1">
                  <c:v>Feb. </c:v>
                </c:pt>
                <c:pt idx="2">
                  <c:v>Mar.</c:v>
                </c:pt>
                <c:pt idx="3">
                  <c:v>Apr.</c:v>
                </c:pt>
                <c:pt idx="4">
                  <c:v>Mai</c:v>
                </c:pt>
                <c:pt idx="5">
                  <c:v>Iun.</c:v>
                </c:pt>
                <c:pt idx="6">
                  <c:v>Iul. </c:v>
                </c:pt>
                <c:pt idx="7">
                  <c:v>Aug.</c:v>
                </c:pt>
                <c:pt idx="8">
                  <c:v>Sep.</c:v>
                </c:pt>
                <c:pt idx="9">
                  <c:v>Oct.</c:v>
                </c:pt>
                <c:pt idx="10">
                  <c:v>Noiem.</c:v>
                </c:pt>
                <c:pt idx="11">
                  <c:v>Dec.</c:v>
                </c:pt>
                <c:pt idx="12">
                  <c:v>Ian. 2019</c:v>
                </c:pt>
              </c:strCache>
            </c:strRef>
          </c:cat>
          <c:val>
            <c:numRef>
              <c:f>Sheet1!$B$3:$N$3</c:f>
              <c:numCache>
                <c:formatCode>0.0</c:formatCode>
                <c:ptCount val="13"/>
                <c:pt idx="0">
                  <c:v>-44.4</c:v>
                </c:pt>
                <c:pt idx="1">
                  <c:v>0</c:v>
                </c:pt>
                <c:pt idx="2">
                  <c:v>-0.3</c:v>
                </c:pt>
                <c:pt idx="3">
                  <c:v>-0.1</c:v>
                </c:pt>
                <c:pt idx="4">
                  <c:v>0</c:v>
                </c:pt>
                <c:pt idx="5">
                  <c:v>0</c:v>
                </c:pt>
                <c:pt idx="6">
                  <c:v>0</c:v>
                </c:pt>
                <c:pt idx="7">
                  <c:v>0</c:v>
                </c:pt>
                <c:pt idx="8">
                  <c:v>0</c:v>
                </c:pt>
                <c:pt idx="9">
                  <c:v>-13.2</c:v>
                </c:pt>
                <c:pt idx="10">
                  <c:v>-21</c:v>
                </c:pt>
                <c:pt idx="11">
                  <c:v>-36.1</c:v>
                </c:pt>
                <c:pt idx="12">
                  <c:v>-92.7</c:v>
                </c:pt>
              </c:numCache>
            </c:numRef>
          </c:val>
          <c:extLst xmlns:c16r2="http://schemas.microsoft.com/office/drawing/2015/06/chart">
            <c:ext xmlns:c16="http://schemas.microsoft.com/office/drawing/2014/chart" uri="{C3380CC4-5D6E-409C-BE32-E72D297353CC}">
              <c16:uniqueId val="{00000019-7B81-42AF-93CB-5F15B0CE2FCE}"/>
            </c:ext>
          </c:extLst>
        </c:ser>
        <c:dLbls>
          <c:showLegendKey val="0"/>
          <c:showVal val="1"/>
          <c:showCatName val="0"/>
          <c:showSerName val="0"/>
          <c:showPercent val="0"/>
          <c:showBubbleSize val="0"/>
        </c:dLbls>
        <c:gapWidth val="150"/>
        <c:axId val="687722232"/>
        <c:axId val="687722624"/>
      </c:barChart>
      <c:catAx>
        <c:axId val="687722232"/>
        <c:scaling>
          <c:orientation val="minMax"/>
        </c:scaling>
        <c:delete val="0"/>
        <c:axPos val="b"/>
        <c:numFmt formatCode="General" sourceLinked="1"/>
        <c:majorTickMark val="out"/>
        <c:minorTickMark val="none"/>
        <c:tickLblPos val="low"/>
        <c:spPr>
          <a:noFill/>
          <a:ln w="3180" cap="flat" cmpd="sng" algn="ctr">
            <a:solidFill>
              <a:srgbClr val="000000"/>
            </a:solidFill>
            <a:prstDash val="solid"/>
            <a:round/>
          </a:ln>
          <a:effectLst/>
        </c:spPr>
        <c:txPr>
          <a:bodyPr rot="0" spcFirstLastPara="1" vertOverflow="ellipsis" wrap="square" anchor="ctr" anchorCtr="1"/>
          <a:lstStyle/>
          <a:p>
            <a:pPr>
              <a:defRPr sz="900" b="1" i="0" u="none" strike="noStrike" kern="1200" baseline="0">
                <a:solidFill>
                  <a:srgbClr val="000000"/>
                </a:solidFill>
                <a:latin typeface="Arial Cyr"/>
                <a:ea typeface="Arial Cyr"/>
                <a:cs typeface="Arial Cyr"/>
              </a:defRPr>
            </a:pPr>
            <a:endParaRPr lang="en-US"/>
          </a:p>
        </c:txPr>
        <c:crossAx val="687722624"/>
        <c:crosses val="autoZero"/>
        <c:auto val="1"/>
        <c:lblAlgn val="ctr"/>
        <c:lblOffset val="100"/>
        <c:tickLblSkip val="1"/>
        <c:tickMarkSkip val="1"/>
        <c:noMultiLvlLbl val="0"/>
      </c:catAx>
      <c:valAx>
        <c:axId val="687722624"/>
        <c:scaling>
          <c:orientation val="minMax"/>
          <c:max val="120"/>
          <c:min val="-120"/>
        </c:scaling>
        <c:delete val="0"/>
        <c:axPos val="l"/>
        <c:majorGridlines>
          <c:spPr>
            <a:ln w="3180" cap="flat" cmpd="sng" algn="ctr">
              <a:noFill/>
              <a:prstDash val="solid"/>
              <a:round/>
            </a:ln>
            <a:effectLst/>
          </c:spPr>
        </c:majorGridlines>
        <c:numFmt formatCode="#,##0" sourceLinked="0"/>
        <c:majorTickMark val="out"/>
        <c:minorTickMark val="none"/>
        <c:tickLblPos val="nextTo"/>
        <c:spPr>
          <a:noFill/>
          <a:ln w="3180" cap="flat" cmpd="sng" algn="ctr">
            <a:solidFill>
              <a:srgbClr val="000000"/>
            </a:solidFill>
            <a:prstDash val="solid"/>
            <a:round/>
          </a:ln>
          <a:effectLst/>
        </c:spPr>
        <c:txPr>
          <a:bodyPr rot="0" spcFirstLastPara="1" vertOverflow="ellipsis" wrap="square" anchor="ctr" anchorCtr="1"/>
          <a:lstStyle/>
          <a:p>
            <a:pPr>
              <a:defRPr sz="900" b="1" i="0" u="none" strike="noStrike" kern="1200" baseline="0">
                <a:solidFill>
                  <a:srgbClr val="000000"/>
                </a:solidFill>
                <a:latin typeface="Arial Cyr"/>
                <a:ea typeface="Arial Cyr"/>
                <a:cs typeface="Arial Cyr"/>
              </a:defRPr>
            </a:pPr>
            <a:endParaRPr lang="en-US"/>
          </a:p>
        </c:txPr>
        <c:crossAx val="687722232"/>
        <c:crosses val="autoZero"/>
        <c:crossBetween val="between"/>
        <c:majorUnit val="60"/>
        <c:minorUnit val="20"/>
      </c:valAx>
      <c:spPr>
        <a:solidFill>
          <a:srgbClr val="FFFFFF"/>
        </a:solidFill>
        <a:ln w="12719">
          <a:solidFill>
            <a:srgbClr val="FFFFFF"/>
          </a:solidFill>
          <a:prstDash val="solid"/>
        </a:ln>
        <a:effectLst/>
      </c:spPr>
    </c:plotArea>
    <c:legend>
      <c:legendPos val="r"/>
      <c:layout>
        <c:manualLayout>
          <c:xMode val="edge"/>
          <c:yMode val="edge"/>
          <c:x val="0.27796262309316605"/>
          <c:y val="0.88121119006465654"/>
          <c:w val="0.43069731415152052"/>
          <c:h val="8.8301005057294657E-2"/>
        </c:manualLayout>
      </c:layout>
      <c:overlay val="0"/>
      <c:spPr>
        <a:noFill/>
        <a:ln w="3180">
          <a:noFill/>
          <a:prstDash val="solid"/>
        </a:ln>
        <a:effectLst/>
      </c:spPr>
      <c:txPr>
        <a:bodyPr rot="0" spcFirstLastPara="1" vertOverflow="ellipsis" vert="horz" wrap="square" anchor="ctr" anchorCtr="1"/>
        <a:lstStyle/>
        <a:p>
          <a:pPr>
            <a:defRPr sz="900" b="1" i="0" u="none" strike="noStrike" kern="1200" baseline="0">
              <a:solidFill>
                <a:srgbClr val="000000"/>
              </a:solidFill>
              <a:latin typeface="Arial Cyr"/>
              <a:ea typeface="Arial Cyr"/>
              <a:cs typeface="Arial Cyr"/>
            </a:defRPr>
          </a:pPr>
          <a:endParaRPr lang="en-US"/>
        </a:p>
      </c:txPr>
    </c:legend>
    <c:plotVisOnly val="1"/>
    <c:dispBlanksAs val="gap"/>
    <c:showDLblsOverMax val="0"/>
  </c:chart>
  <c:spPr>
    <a:noFill/>
    <a:ln w="6350" cap="flat" cmpd="sng" algn="ctr">
      <a:noFill/>
      <a:prstDash val="solid"/>
      <a:round/>
    </a:ln>
    <a:effectLst/>
  </c:spPr>
  <c:txPr>
    <a:bodyPr/>
    <a:lstStyle/>
    <a:p>
      <a:pPr>
        <a:defRPr sz="1102" b="1" i="0" u="none" strike="noStrike" baseline="0">
          <a:solidFill>
            <a:srgbClr val="000000"/>
          </a:solidFill>
          <a:latin typeface="Arial Cyr"/>
          <a:ea typeface="Arial Cyr"/>
          <a:cs typeface="Arial Cy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968131614101634E-2"/>
          <c:y val="8.77914951989026E-2"/>
          <c:w val="0.8854530167361192"/>
          <c:h val="0.81235518399706208"/>
        </c:manualLayout>
      </c:layout>
      <c:barChart>
        <c:barDir val="col"/>
        <c:grouping val="clustered"/>
        <c:varyColors val="0"/>
        <c:ser>
          <c:idx val="0"/>
          <c:order val="0"/>
          <c:tx>
            <c:strRef>
              <c:f>Sheet1!$B$1</c:f>
              <c:strCache>
                <c:ptCount val="1"/>
                <c:pt idx="0">
                  <c:v>Column2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m\/d\/yyyy</c:formatCode>
                <c:ptCount val="5"/>
                <c:pt idx="0">
                  <c:v>42035</c:v>
                </c:pt>
                <c:pt idx="1">
                  <c:v>42398</c:v>
                </c:pt>
                <c:pt idx="2">
                  <c:v>42766</c:v>
                </c:pt>
                <c:pt idx="3">
                  <c:v>43404</c:v>
                </c:pt>
                <c:pt idx="4">
                  <c:v>43769</c:v>
                </c:pt>
              </c:numCache>
            </c:numRef>
          </c:cat>
          <c:val>
            <c:numRef>
              <c:f>Sheet1!$B$2:$B$6</c:f>
              <c:numCache>
                <c:formatCode>General</c:formatCode>
                <c:ptCount val="5"/>
                <c:pt idx="0">
                  <c:v>1958</c:v>
                </c:pt>
                <c:pt idx="1">
                  <c:v>1736</c:v>
                </c:pt>
                <c:pt idx="2" formatCode="0.0">
                  <c:v>2205.3000000000002</c:v>
                </c:pt>
                <c:pt idx="3">
                  <c:v>2903.5</c:v>
                </c:pt>
                <c:pt idx="4" formatCode="0.0">
                  <c:v>2908.6</c:v>
                </c:pt>
              </c:numCache>
            </c:numRef>
          </c:val>
          <c:extLst xmlns:c16r2="http://schemas.microsoft.com/office/drawing/2015/06/chart">
            <c:ext xmlns:c16="http://schemas.microsoft.com/office/drawing/2014/chart" uri="{C3380CC4-5D6E-409C-BE32-E72D297353CC}">
              <c16:uniqueId val="{00000000-608E-40F5-9BEB-26425DE04D7E}"/>
            </c:ext>
          </c:extLst>
        </c:ser>
        <c:dLbls>
          <c:dLblPos val="outEnd"/>
          <c:showLegendKey val="0"/>
          <c:showVal val="1"/>
          <c:showCatName val="0"/>
          <c:showSerName val="0"/>
          <c:showPercent val="0"/>
          <c:showBubbleSize val="0"/>
        </c:dLbls>
        <c:gapWidth val="135"/>
        <c:overlap val="-27"/>
        <c:axId val="687723408"/>
        <c:axId val="687723800"/>
      </c:barChart>
      <c:catAx>
        <c:axId val="687723408"/>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723800"/>
        <c:crosses val="autoZero"/>
        <c:auto val="0"/>
        <c:lblAlgn val="ctr"/>
        <c:lblOffset val="100"/>
        <c:noMultiLvlLbl val="0"/>
      </c:catAx>
      <c:valAx>
        <c:axId val="687723800"/>
        <c:scaling>
          <c:orientation val="minMax"/>
          <c:max val="3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723408"/>
        <c:crossesAt val="1"/>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Bani lichizi în circulaţie</c:v>
                </c:pt>
              </c:strCache>
            </c:strRef>
          </c:tx>
          <c:spPr>
            <a:pattFill prst="horzBrick">
              <a:fgClr>
                <a:schemeClr val="accent5">
                  <a:lumMod val="75000"/>
                </a:schemeClr>
              </a:fgClr>
              <a:bgClr>
                <a:schemeClr val="bg1"/>
              </a:bgClr>
            </a:pattFill>
            <a:ln>
              <a:solidFill>
                <a:schemeClr val="tx1"/>
              </a:solidFill>
            </a:ln>
            <a:effectLst/>
          </c:spPr>
          <c:invertIfNegative val="0"/>
          <c:cat>
            <c:numRef>
              <c:f>Sheet1!$A$2:$A$6</c:f>
              <c:numCache>
                <c:formatCode>General</c:formatCode>
                <c:ptCount val="5"/>
                <c:pt idx="0">
                  <c:v>2015</c:v>
                </c:pt>
                <c:pt idx="1">
                  <c:v>2016</c:v>
                </c:pt>
                <c:pt idx="2">
                  <c:v>2017</c:v>
                </c:pt>
                <c:pt idx="3">
                  <c:v>2018</c:v>
                </c:pt>
                <c:pt idx="4">
                  <c:v>2019</c:v>
                </c:pt>
              </c:numCache>
            </c:numRef>
          </c:cat>
          <c:val>
            <c:numRef>
              <c:f>Sheet1!$B$2:$B$6</c:f>
              <c:numCache>
                <c:formatCode>General</c:formatCode>
                <c:ptCount val="5"/>
                <c:pt idx="0">
                  <c:v>-0.4</c:v>
                </c:pt>
                <c:pt idx="1">
                  <c:v>-2.2999999999999998</c:v>
                </c:pt>
                <c:pt idx="2">
                  <c:v>2.2000000000000002</c:v>
                </c:pt>
                <c:pt idx="3">
                  <c:v>2.7</c:v>
                </c:pt>
                <c:pt idx="4">
                  <c:v>2.7</c:v>
                </c:pt>
              </c:numCache>
            </c:numRef>
          </c:val>
          <c:extLst xmlns:c16r2="http://schemas.microsoft.com/office/drawing/2015/06/chart">
            <c:ext xmlns:c16="http://schemas.microsoft.com/office/drawing/2014/chart" uri="{C3380CC4-5D6E-409C-BE32-E72D297353CC}">
              <c16:uniqueId val="{00000000-6F6B-4DCC-B9D7-53898C123974}"/>
            </c:ext>
          </c:extLst>
        </c:ser>
        <c:ser>
          <c:idx val="1"/>
          <c:order val="1"/>
          <c:tx>
            <c:strRef>
              <c:f>Sheet1!$C$1</c:f>
              <c:strCache>
                <c:ptCount val="1"/>
                <c:pt idx="0">
                  <c:v>Depozite la vedere </c:v>
                </c:pt>
              </c:strCache>
            </c:strRef>
          </c:tx>
          <c:spPr>
            <a:pattFill prst="trellis">
              <a:fgClr>
                <a:schemeClr val="accent5">
                  <a:lumMod val="75000"/>
                </a:schemeClr>
              </a:fgClr>
              <a:bgClr>
                <a:schemeClr val="bg1"/>
              </a:bgClr>
            </a:pattFill>
            <a:ln>
              <a:solidFill>
                <a:schemeClr val="tx1"/>
              </a:solidFill>
            </a:ln>
            <a:effectLst/>
          </c:spPr>
          <c:invertIfNegative val="0"/>
          <c:cat>
            <c:numRef>
              <c:f>Sheet1!$A$2:$A$6</c:f>
              <c:numCache>
                <c:formatCode>General</c:formatCode>
                <c:ptCount val="5"/>
                <c:pt idx="0">
                  <c:v>2015</c:v>
                </c:pt>
                <c:pt idx="1">
                  <c:v>2016</c:v>
                </c:pt>
                <c:pt idx="2">
                  <c:v>2017</c:v>
                </c:pt>
                <c:pt idx="3">
                  <c:v>2018</c:v>
                </c:pt>
                <c:pt idx="4">
                  <c:v>2019</c:v>
                </c:pt>
              </c:numCache>
            </c:numRef>
          </c:cat>
          <c:val>
            <c:numRef>
              <c:f>Sheet1!$C$2:$C$6</c:f>
              <c:numCache>
                <c:formatCode>General</c:formatCode>
                <c:ptCount val="5"/>
                <c:pt idx="0" formatCode="0.0">
                  <c:v>-1</c:v>
                </c:pt>
                <c:pt idx="1">
                  <c:v>-1.2</c:v>
                </c:pt>
                <c:pt idx="2" formatCode="0.0">
                  <c:v>4</c:v>
                </c:pt>
                <c:pt idx="3">
                  <c:v>7.7</c:v>
                </c:pt>
                <c:pt idx="4">
                  <c:v>2.2000000000000002</c:v>
                </c:pt>
              </c:numCache>
            </c:numRef>
          </c:val>
          <c:extLst xmlns:c16r2="http://schemas.microsoft.com/office/drawing/2015/06/chart">
            <c:ext xmlns:c16="http://schemas.microsoft.com/office/drawing/2014/chart" uri="{C3380CC4-5D6E-409C-BE32-E72D297353CC}">
              <c16:uniqueId val="{00000001-6F6B-4DCC-B9D7-53898C123974}"/>
            </c:ext>
          </c:extLst>
        </c:ser>
        <c:ser>
          <c:idx val="2"/>
          <c:order val="2"/>
          <c:tx>
            <c:strRef>
              <c:f>Sheet1!$D$1</c:f>
              <c:strCache>
                <c:ptCount val="1"/>
                <c:pt idx="0">
                  <c:v>Depozite la termen </c:v>
                </c:pt>
              </c:strCache>
            </c:strRef>
          </c:tx>
          <c:spPr>
            <a:pattFill prst="dotDmnd">
              <a:fgClr>
                <a:schemeClr val="accent5">
                  <a:lumMod val="75000"/>
                </a:schemeClr>
              </a:fgClr>
              <a:bgClr>
                <a:schemeClr val="bg1"/>
              </a:bgClr>
            </a:pattFill>
            <a:ln>
              <a:solidFill>
                <a:schemeClr val="tx1"/>
              </a:solidFill>
            </a:ln>
            <a:effectLst/>
          </c:spPr>
          <c:invertIfNegative val="0"/>
          <c:cat>
            <c:numRef>
              <c:f>Sheet1!$A$2:$A$6</c:f>
              <c:numCache>
                <c:formatCode>General</c:formatCode>
                <c:ptCount val="5"/>
                <c:pt idx="0">
                  <c:v>2015</c:v>
                </c:pt>
                <c:pt idx="1">
                  <c:v>2016</c:v>
                </c:pt>
                <c:pt idx="2">
                  <c:v>2017</c:v>
                </c:pt>
                <c:pt idx="3">
                  <c:v>2018</c:v>
                </c:pt>
                <c:pt idx="4">
                  <c:v>2019</c:v>
                </c:pt>
              </c:numCache>
            </c:numRef>
          </c:cat>
          <c:val>
            <c:numRef>
              <c:f>Sheet1!$D$2:$D$6</c:f>
              <c:numCache>
                <c:formatCode>General</c:formatCode>
                <c:ptCount val="5"/>
                <c:pt idx="0">
                  <c:v>-2.9</c:v>
                </c:pt>
                <c:pt idx="1">
                  <c:v>-0.6</c:v>
                </c:pt>
                <c:pt idx="2">
                  <c:v>5.3</c:v>
                </c:pt>
                <c:pt idx="3">
                  <c:v>-1.1000000000000001</c:v>
                </c:pt>
                <c:pt idx="4">
                  <c:v>0.5</c:v>
                </c:pt>
              </c:numCache>
            </c:numRef>
          </c:val>
          <c:extLst xmlns:c16r2="http://schemas.microsoft.com/office/drawing/2015/06/chart">
            <c:ext xmlns:c16="http://schemas.microsoft.com/office/drawing/2014/chart" uri="{C3380CC4-5D6E-409C-BE32-E72D297353CC}">
              <c16:uniqueId val="{00000002-6F6B-4DCC-B9D7-53898C123974}"/>
            </c:ext>
          </c:extLst>
        </c:ser>
        <c:ser>
          <c:idx val="3"/>
          <c:order val="3"/>
          <c:tx>
            <c:strRef>
              <c:f>Sheet1!$E$1</c:f>
              <c:strCache>
                <c:ptCount val="1"/>
                <c:pt idx="0">
                  <c:v>Depozite în valută străină</c:v>
                </c:pt>
              </c:strCache>
            </c:strRef>
          </c:tx>
          <c:spPr>
            <a:pattFill prst="lgCheck">
              <a:fgClr>
                <a:schemeClr val="accent5">
                  <a:lumMod val="75000"/>
                </a:schemeClr>
              </a:fgClr>
              <a:bgClr>
                <a:schemeClr val="bg1"/>
              </a:bgClr>
            </a:pattFill>
            <a:ln>
              <a:solidFill>
                <a:schemeClr val="tx1"/>
              </a:solidFill>
            </a:ln>
            <a:effectLst/>
          </c:spPr>
          <c:invertIfNegative val="0"/>
          <c:cat>
            <c:numRef>
              <c:f>Sheet1!$A$2:$A$6</c:f>
              <c:numCache>
                <c:formatCode>General</c:formatCode>
                <c:ptCount val="5"/>
                <c:pt idx="0">
                  <c:v>2015</c:v>
                </c:pt>
                <c:pt idx="1">
                  <c:v>2016</c:v>
                </c:pt>
                <c:pt idx="2">
                  <c:v>2017</c:v>
                </c:pt>
                <c:pt idx="3">
                  <c:v>2018</c:v>
                </c:pt>
                <c:pt idx="4">
                  <c:v>2019</c:v>
                </c:pt>
              </c:numCache>
            </c:numRef>
          </c:cat>
          <c:val>
            <c:numRef>
              <c:f>Sheet1!$E$2:$E$6</c:f>
              <c:numCache>
                <c:formatCode>General</c:formatCode>
                <c:ptCount val="5"/>
                <c:pt idx="0">
                  <c:v>12.8</c:v>
                </c:pt>
                <c:pt idx="1">
                  <c:v>-0.1</c:v>
                </c:pt>
                <c:pt idx="2">
                  <c:v>-2.2000000000000002</c:v>
                </c:pt>
                <c:pt idx="3">
                  <c:v>-0.1</c:v>
                </c:pt>
                <c:pt idx="4">
                  <c:v>1.1000000000000001</c:v>
                </c:pt>
              </c:numCache>
            </c:numRef>
          </c:val>
          <c:extLst xmlns:c16r2="http://schemas.microsoft.com/office/drawing/2015/06/chart">
            <c:ext xmlns:c16="http://schemas.microsoft.com/office/drawing/2014/chart" uri="{C3380CC4-5D6E-409C-BE32-E72D297353CC}">
              <c16:uniqueId val="{00000003-6F6B-4DCC-B9D7-53898C123974}"/>
            </c:ext>
          </c:extLst>
        </c:ser>
        <c:dLbls>
          <c:showLegendKey val="0"/>
          <c:showVal val="0"/>
          <c:showCatName val="0"/>
          <c:showSerName val="0"/>
          <c:showPercent val="0"/>
          <c:showBubbleSize val="0"/>
        </c:dLbls>
        <c:gapWidth val="219"/>
        <c:overlap val="100"/>
        <c:axId val="687724976"/>
        <c:axId val="687725368"/>
      </c:barChart>
      <c:lineChart>
        <c:grouping val="standard"/>
        <c:varyColors val="0"/>
        <c:ser>
          <c:idx val="4"/>
          <c:order val="4"/>
          <c:tx>
            <c:strRef>
              <c:f>Sheet1!$F$1</c:f>
              <c:strCache>
                <c:ptCount val="1"/>
                <c:pt idx="0">
                  <c:v> M3 </c:v>
                </c:pt>
              </c:strCache>
            </c:strRef>
          </c:tx>
          <c:spPr>
            <a:ln w="28575" cap="rnd">
              <a:solidFill>
                <a:schemeClr val="accent5">
                  <a:lumMod val="75000"/>
                </a:schemeClr>
              </a:solidFill>
              <a:round/>
            </a:ln>
            <a:effectLst/>
          </c:spPr>
          <c:marker>
            <c:symbol val="none"/>
          </c:marker>
          <c:dLbls>
            <c:spPr>
              <a:solidFill>
                <a:schemeClr val="accent1">
                  <a:lumMod val="20000"/>
                  <a:lumOff val="80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2015</c:v>
                </c:pt>
                <c:pt idx="1">
                  <c:v>2016</c:v>
                </c:pt>
                <c:pt idx="2">
                  <c:v>2017</c:v>
                </c:pt>
                <c:pt idx="3">
                  <c:v>2018</c:v>
                </c:pt>
                <c:pt idx="4">
                  <c:v>2019</c:v>
                </c:pt>
              </c:numCache>
            </c:numRef>
          </c:cat>
          <c:val>
            <c:numRef>
              <c:f>Sheet1!$F$2:$F$6</c:f>
              <c:numCache>
                <c:formatCode>General</c:formatCode>
                <c:ptCount val="5"/>
                <c:pt idx="0">
                  <c:v>8.4</c:v>
                </c:pt>
                <c:pt idx="1">
                  <c:v>-4.3</c:v>
                </c:pt>
                <c:pt idx="2">
                  <c:v>9.4</c:v>
                </c:pt>
                <c:pt idx="3">
                  <c:v>9</c:v>
                </c:pt>
                <c:pt idx="4">
                  <c:v>6.6</c:v>
                </c:pt>
              </c:numCache>
            </c:numRef>
          </c:val>
          <c:smooth val="0"/>
          <c:extLst xmlns:c16r2="http://schemas.microsoft.com/office/drawing/2015/06/chart">
            <c:ext xmlns:c16="http://schemas.microsoft.com/office/drawing/2014/chart" uri="{C3380CC4-5D6E-409C-BE32-E72D297353CC}">
              <c16:uniqueId val="{00000005-6F6B-4DCC-B9D7-53898C123974}"/>
            </c:ext>
          </c:extLst>
        </c:ser>
        <c:dLbls>
          <c:showLegendKey val="0"/>
          <c:showVal val="0"/>
          <c:showCatName val="0"/>
          <c:showSerName val="0"/>
          <c:showPercent val="0"/>
          <c:showBubbleSize val="0"/>
        </c:dLbls>
        <c:marker val="1"/>
        <c:smooth val="0"/>
        <c:axId val="687724976"/>
        <c:axId val="687725368"/>
      </c:lineChart>
      <c:catAx>
        <c:axId val="68772497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725368"/>
        <c:crosses val="autoZero"/>
        <c:auto val="1"/>
        <c:lblAlgn val="ctr"/>
        <c:lblOffset val="100"/>
        <c:noMultiLvlLbl val="0"/>
      </c:catAx>
      <c:valAx>
        <c:axId val="687725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7724976"/>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389507154213043E-2"/>
          <c:y val="0.04"/>
          <c:w val="0.83942766295707472"/>
          <c:h val="0.67272727272727273"/>
        </c:manualLayout>
      </c:layout>
      <c:barChart>
        <c:barDir val="col"/>
        <c:grouping val="clustered"/>
        <c:varyColors val="0"/>
        <c:ser>
          <c:idx val="1"/>
          <c:order val="0"/>
          <c:tx>
            <c:strRef>
              <c:f>Sheet1!$A$2</c:f>
              <c:strCache>
                <c:ptCount val="1"/>
                <c:pt idx="0">
                  <c:v>Depozite în monedă naţională</c:v>
                </c:pt>
              </c:strCache>
            </c:strRef>
          </c:tx>
          <c:spPr>
            <a:pattFill prst="lgCheck">
              <a:fgClr>
                <a:schemeClr val="accent5">
                  <a:lumMod val="75000"/>
                </a:schemeClr>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invertIfNegative val="0"/>
          <c:cat>
            <c:numRef>
              <c:f>Sheet1!$B$1:$F$1</c:f>
              <c:numCache>
                <c:formatCode>General</c:formatCode>
                <c:ptCount val="5"/>
                <c:pt idx="0">
                  <c:v>2015</c:v>
                </c:pt>
                <c:pt idx="1">
                  <c:v>2016</c:v>
                </c:pt>
                <c:pt idx="2">
                  <c:v>2017</c:v>
                </c:pt>
                <c:pt idx="3">
                  <c:v>2018</c:v>
                </c:pt>
                <c:pt idx="4">
                  <c:v>2019</c:v>
                </c:pt>
              </c:numCache>
            </c:numRef>
          </c:cat>
          <c:val>
            <c:numRef>
              <c:f>Sheet1!$B$2:$F$2</c:f>
              <c:numCache>
                <c:formatCode>0</c:formatCode>
                <c:ptCount val="5"/>
                <c:pt idx="0">
                  <c:v>24977.5</c:v>
                </c:pt>
                <c:pt idx="1">
                  <c:v>23759.89</c:v>
                </c:pt>
                <c:pt idx="2">
                  <c:v>29792</c:v>
                </c:pt>
                <c:pt idx="3">
                  <c:v>34408.400000000001</c:v>
                </c:pt>
                <c:pt idx="4">
                  <c:v>36509.979999999996</c:v>
                </c:pt>
              </c:numCache>
            </c:numRef>
          </c:val>
          <c:extLst xmlns:c16r2="http://schemas.microsoft.com/office/drawing/2015/06/chart">
            <c:ext xmlns:c16="http://schemas.microsoft.com/office/drawing/2014/chart" uri="{C3380CC4-5D6E-409C-BE32-E72D297353CC}">
              <c16:uniqueId val="{00000000-5C9D-4F51-8F8A-FFF34B978567}"/>
            </c:ext>
          </c:extLst>
        </c:ser>
        <c:ser>
          <c:idx val="0"/>
          <c:order val="1"/>
          <c:tx>
            <c:strRef>
              <c:f>Sheet1!$A$3</c:f>
              <c:strCache>
                <c:ptCount val="1"/>
                <c:pt idx="0">
                  <c:v>Depozite în valută străină</c:v>
                </c:pt>
              </c:strCache>
            </c:strRef>
          </c:tx>
          <c:spPr>
            <a:pattFill prst="wave">
              <a:fgClr>
                <a:schemeClr val="accent5">
                  <a:lumMod val="75000"/>
                </a:schemeClr>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invertIfNegative val="0"/>
          <c:cat>
            <c:numRef>
              <c:f>Sheet1!$B$1:$F$1</c:f>
              <c:numCache>
                <c:formatCode>General</c:formatCode>
                <c:ptCount val="5"/>
                <c:pt idx="0">
                  <c:v>2015</c:v>
                </c:pt>
                <c:pt idx="1">
                  <c:v>2016</c:v>
                </c:pt>
                <c:pt idx="2">
                  <c:v>2017</c:v>
                </c:pt>
                <c:pt idx="3">
                  <c:v>2018</c:v>
                </c:pt>
                <c:pt idx="4">
                  <c:v>2019</c:v>
                </c:pt>
              </c:numCache>
            </c:numRef>
          </c:cat>
          <c:val>
            <c:numRef>
              <c:f>Sheet1!$B$3:$F$3</c:f>
              <c:numCache>
                <c:formatCode>0</c:formatCode>
                <c:ptCount val="5"/>
                <c:pt idx="0">
                  <c:v>25902.7</c:v>
                </c:pt>
                <c:pt idx="1">
                  <c:v>25819.03</c:v>
                </c:pt>
                <c:pt idx="2">
                  <c:v>24402.65</c:v>
                </c:pt>
                <c:pt idx="3">
                  <c:v>24359.96</c:v>
                </c:pt>
                <c:pt idx="4">
                  <c:v>25229.97</c:v>
                </c:pt>
              </c:numCache>
            </c:numRef>
          </c:val>
          <c:extLst xmlns:c16r2="http://schemas.microsoft.com/office/drawing/2015/06/chart">
            <c:ext xmlns:c16="http://schemas.microsoft.com/office/drawing/2014/chart" uri="{C3380CC4-5D6E-409C-BE32-E72D297353CC}">
              <c16:uniqueId val="{00000001-5C9D-4F51-8F8A-FFF34B978567}"/>
            </c:ext>
          </c:extLst>
        </c:ser>
        <c:dLbls>
          <c:showLegendKey val="0"/>
          <c:showVal val="0"/>
          <c:showCatName val="0"/>
          <c:showSerName val="0"/>
          <c:showPercent val="0"/>
          <c:showBubbleSize val="0"/>
        </c:dLbls>
        <c:gapWidth val="150"/>
        <c:axId val="687726152"/>
        <c:axId val="687726544"/>
      </c:barChart>
      <c:lineChart>
        <c:grouping val="standard"/>
        <c:varyColors val="0"/>
        <c:ser>
          <c:idx val="2"/>
          <c:order val="2"/>
          <c:tx>
            <c:strRef>
              <c:f>Sheet1!$A$4</c:f>
              <c:strCache>
                <c:ptCount val="1"/>
                <c:pt idx="0">
                  <c:v>Rata dobînzii la dep. în monedă naţională</c:v>
                </c:pt>
              </c:strCache>
            </c:strRef>
          </c:tx>
          <c:spPr>
            <a:ln w="25400">
              <a:solidFill>
                <a:schemeClr val="accent5">
                  <a:lumMod val="75000"/>
                </a:schemeClr>
              </a:solidFill>
              <a:prstDash val="solid"/>
            </a:ln>
          </c:spPr>
          <c:marker>
            <c:symbol val="triangle"/>
            <c:size val="5"/>
            <c:spPr>
              <a:solidFill>
                <a:srgbClr val="000000"/>
              </a:solidFill>
              <a:ln>
                <a:solidFill>
                  <a:srgbClr val="000000"/>
                </a:solidFill>
                <a:prstDash val="solid"/>
              </a:ln>
            </c:spPr>
          </c:marker>
          <c:dLbls>
            <c:dLbl>
              <c:idx val="0"/>
              <c:layout>
                <c:manualLayout>
                  <c:x val="-3.8114337270341185E-2"/>
                  <c:y val="-5.3473315835520605E-2"/>
                </c:manualLayout>
              </c:layout>
              <c:spPr>
                <a:solidFill>
                  <a:srgbClr val="FFFFFF"/>
                </a:solidFill>
                <a:ln w="25400">
                  <a:noFill/>
                </a:ln>
              </c:spPr>
              <c:txPr>
                <a:bodyPr/>
                <a:lstStyle/>
                <a:p>
                  <a:pPr>
                    <a:defRPr sz="800"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C9D-4F51-8F8A-FFF34B978567}"/>
                </c:ext>
                <c:ext xmlns:c15="http://schemas.microsoft.com/office/drawing/2012/chart" uri="{CE6537A1-D6FC-4f65-9D91-7224C49458BB}"/>
              </c:extLst>
            </c:dLbl>
            <c:dLbl>
              <c:idx val="1"/>
              <c:layout>
                <c:manualLayout>
                  <c:x val="-3.5997867454068279E-2"/>
                  <c:y val="-4.7194732237417693E-2"/>
                </c:manualLayout>
              </c:layout>
              <c:spPr>
                <a:solidFill>
                  <a:srgbClr val="FFFFFF"/>
                </a:solidFill>
                <a:ln w="25400">
                  <a:noFill/>
                </a:ln>
              </c:spPr>
              <c:txPr>
                <a:bodyPr/>
                <a:lstStyle/>
                <a:p>
                  <a:pPr>
                    <a:defRPr sz="800"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C9D-4F51-8F8A-FFF34B978567}"/>
                </c:ext>
                <c:ext xmlns:c15="http://schemas.microsoft.com/office/drawing/2012/chart" uri="{CE6537A1-D6FC-4f65-9D91-7224C49458BB}"/>
              </c:extLst>
            </c:dLbl>
            <c:dLbl>
              <c:idx val="2"/>
              <c:layout>
                <c:manualLayout>
                  <c:x val="-3.4759186351706113E-2"/>
                  <c:y val="-4.2854906294607933E-2"/>
                </c:manualLayout>
              </c:layout>
              <c:spPr>
                <a:solidFill>
                  <a:srgbClr val="FFFFFF"/>
                </a:solidFill>
                <a:ln w="25400">
                  <a:noFill/>
                </a:ln>
              </c:spPr>
              <c:txPr>
                <a:bodyPr/>
                <a:lstStyle/>
                <a:p>
                  <a:pPr>
                    <a:defRPr sz="800"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C9D-4F51-8F8A-FFF34B978567}"/>
                </c:ext>
                <c:ext xmlns:c15="http://schemas.microsoft.com/office/drawing/2012/chart" uri="{CE6537A1-D6FC-4f65-9D91-7224C49458BB}"/>
              </c:extLst>
            </c:dLbl>
            <c:dLbl>
              <c:idx val="3"/>
              <c:layout>
                <c:manualLayout>
                  <c:x val="-3.4722769028871468E-2"/>
                  <c:y val="-6.0952801952387531E-2"/>
                </c:manualLayout>
              </c:layout>
              <c:spPr>
                <a:solidFill>
                  <a:srgbClr val="FFFFFF"/>
                </a:solidFill>
                <a:ln w="25400">
                  <a:noFill/>
                </a:ln>
              </c:spPr>
              <c:txPr>
                <a:bodyPr/>
                <a:lstStyle/>
                <a:p>
                  <a:pPr>
                    <a:defRPr sz="800"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C9D-4F51-8F8A-FFF34B978567}"/>
                </c:ext>
                <c:ext xmlns:c15="http://schemas.microsoft.com/office/drawing/2012/chart" uri="{CE6537A1-D6FC-4f65-9D91-7224C49458BB}"/>
              </c:extLst>
            </c:dLbl>
            <c:dLbl>
              <c:idx val="4"/>
              <c:layout>
                <c:manualLayout>
                  <c:x val="-2.7840059055118112E-2"/>
                  <c:y val="-5.402108946907952E-2"/>
                </c:manualLayout>
              </c:layout>
              <c:spPr>
                <a:solidFill>
                  <a:srgbClr val="FFFFFF"/>
                </a:solidFill>
                <a:ln w="25400">
                  <a:noFill/>
                </a:ln>
              </c:spPr>
              <c:txPr>
                <a:bodyPr/>
                <a:lstStyle/>
                <a:p>
                  <a:pPr>
                    <a:defRPr sz="800"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C9D-4F51-8F8A-FFF34B978567}"/>
                </c:ext>
                <c:ext xmlns:c15="http://schemas.microsoft.com/office/drawing/2012/chart" uri="{CE6537A1-D6FC-4f65-9D91-7224C49458BB}"/>
              </c:extLst>
            </c:dLbl>
            <c:dLbl>
              <c:idx val="5"/>
              <c:layout>
                <c:manualLayout>
                  <c:xMode val="edge"/>
                  <c:yMode val="edge"/>
                  <c:x val="0.62003179650238471"/>
                  <c:y val="0"/>
                </c:manualLayout>
              </c:layout>
              <c:spPr>
                <a:solidFill>
                  <a:srgbClr val="FFFFFF"/>
                </a:solidFill>
                <a:ln w="25400">
                  <a:noFill/>
                </a:ln>
              </c:spPr>
              <c:txPr>
                <a:bodyPr/>
                <a:lstStyle/>
                <a:p>
                  <a:pPr>
                    <a:defRPr sz="800"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5C9D-4F51-8F8A-FFF34B978567}"/>
                </c:ext>
                <c:ext xmlns:c15="http://schemas.microsoft.com/office/drawing/2012/chart" uri="{CE6537A1-D6FC-4f65-9D91-7224C49458BB}"/>
              </c:extLst>
            </c:dLbl>
            <c:dLbl>
              <c:idx val="6"/>
              <c:layout>
                <c:manualLayout>
                  <c:xMode val="edge"/>
                  <c:yMode val="edge"/>
                  <c:x val="0.69634340222575519"/>
                  <c:y val="0"/>
                </c:manualLayout>
              </c:layout>
              <c:spPr>
                <a:solidFill>
                  <a:srgbClr val="FFFFFF"/>
                </a:solidFill>
                <a:ln w="25400">
                  <a:noFill/>
                </a:ln>
              </c:spPr>
              <c:txPr>
                <a:bodyPr/>
                <a:lstStyle/>
                <a:p>
                  <a:pPr>
                    <a:defRPr sz="800"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5C9D-4F51-8F8A-FFF34B978567}"/>
                </c:ext>
                <c:ext xmlns:c15="http://schemas.microsoft.com/office/drawing/2012/chart" uri="{CE6537A1-D6FC-4f65-9D91-7224C49458BB}"/>
              </c:extLst>
            </c:dLbl>
            <c:spPr>
              <a:solidFill>
                <a:srgbClr val="FFFFFF"/>
              </a:solidFill>
              <a:ln w="25400">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Sheet1!$B$1:$F$1</c:f>
              <c:numCache>
                <c:formatCode>General</c:formatCode>
                <c:ptCount val="5"/>
                <c:pt idx="0">
                  <c:v>2015</c:v>
                </c:pt>
                <c:pt idx="1">
                  <c:v>2016</c:v>
                </c:pt>
                <c:pt idx="2">
                  <c:v>2017</c:v>
                </c:pt>
                <c:pt idx="3">
                  <c:v>2018</c:v>
                </c:pt>
                <c:pt idx="4">
                  <c:v>2019</c:v>
                </c:pt>
              </c:numCache>
            </c:numRef>
          </c:cat>
          <c:val>
            <c:numRef>
              <c:f>Sheet1!$B$4:$F$4</c:f>
              <c:numCache>
                <c:formatCode>0.00</c:formatCode>
                <c:ptCount val="5"/>
                <c:pt idx="0">
                  <c:v>6.92</c:v>
                </c:pt>
                <c:pt idx="1">
                  <c:v>15.33</c:v>
                </c:pt>
                <c:pt idx="2">
                  <c:v>6.8</c:v>
                </c:pt>
                <c:pt idx="3">
                  <c:v>5.17</c:v>
                </c:pt>
                <c:pt idx="4">
                  <c:v>4.43</c:v>
                </c:pt>
              </c:numCache>
            </c:numRef>
          </c:val>
          <c:smooth val="0"/>
          <c:extLst xmlns:c16r2="http://schemas.microsoft.com/office/drawing/2015/06/chart">
            <c:ext xmlns:c16="http://schemas.microsoft.com/office/drawing/2014/chart" uri="{C3380CC4-5D6E-409C-BE32-E72D297353CC}">
              <c16:uniqueId val="{00000009-5C9D-4F51-8F8A-FFF34B978567}"/>
            </c:ext>
          </c:extLst>
        </c:ser>
        <c:ser>
          <c:idx val="3"/>
          <c:order val="3"/>
          <c:tx>
            <c:strRef>
              <c:f>Sheet1!$A$5</c:f>
              <c:strCache>
                <c:ptCount val="1"/>
                <c:pt idx="0">
                  <c:v>Rata dobînzii la dep. în valută străină</c:v>
                </c:pt>
              </c:strCache>
            </c:strRef>
          </c:tx>
          <c:spPr>
            <a:ln w="25400">
              <a:solidFill>
                <a:schemeClr val="accent5">
                  <a:lumMod val="75000"/>
                </a:schemeClr>
              </a:solidFill>
              <a:prstDash val="sysDash"/>
            </a:ln>
          </c:spPr>
          <c:marker>
            <c:symbol val="square"/>
            <c:size val="5"/>
            <c:spPr>
              <a:solidFill>
                <a:srgbClr val="000000"/>
              </a:solidFill>
              <a:ln>
                <a:solidFill>
                  <a:srgbClr val="000000"/>
                </a:solidFill>
                <a:prstDash val="solid"/>
              </a:ln>
            </c:spPr>
          </c:marker>
          <c:dLbls>
            <c:dLbl>
              <c:idx val="0"/>
              <c:layout>
                <c:manualLayout>
                  <c:x val="-2.5448705972067498E-2"/>
                  <c:y val="5.7896294063720488E-2"/>
                </c:manualLayout>
              </c:layout>
              <c:spPr>
                <a:solidFill>
                  <a:srgbClr val="FFFFFF"/>
                </a:solidFill>
                <a:ln w="25400">
                  <a:noFill/>
                </a:ln>
              </c:spPr>
              <c:txPr>
                <a:bodyPr/>
                <a:lstStyle/>
                <a:p>
                  <a:pPr algn="ctr" rtl="1">
                    <a:defRPr sz="800" b="1" i="1"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5C9D-4F51-8F8A-FFF34B978567}"/>
                </c:ext>
                <c:ext xmlns:c15="http://schemas.microsoft.com/office/drawing/2012/chart" uri="{CE6537A1-D6FC-4f65-9D91-7224C49458BB}"/>
              </c:extLst>
            </c:dLbl>
            <c:dLbl>
              <c:idx val="1"/>
              <c:layout>
                <c:manualLayout>
                  <c:x val="-2.6402567139858724E-2"/>
                  <c:y val="6.7556861612394159E-2"/>
                </c:manualLayout>
              </c:layout>
              <c:spPr>
                <a:solidFill>
                  <a:srgbClr val="FFFFFF"/>
                </a:solidFill>
                <a:ln w="25400">
                  <a:noFill/>
                </a:ln>
              </c:spPr>
              <c:txPr>
                <a:bodyPr/>
                <a:lstStyle/>
                <a:p>
                  <a:pPr algn="ctr" rtl="1">
                    <a:defRPr sz="800" b="1" i="1"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5C9D-4F51-8F8A-FFF34B978567}"/>
                </c:ext>
                <c:ext xmlns:c15="http://schemas.microsoft.com/office/drawing/2012/chart" uri="{CE6537A1-D6FC-4f65-9D91-7224C49458BB}"/>
              </c:extLst>
            </c:dLbl>
            <c:dLbl>
              <c:idx val="2"/>
              <c:layout>
                <c:manualLayout>
                  <c:x val="-3.0427001312336034E-2"/>
                  <c:y val="5.9836994059953033E-2"/>
                </c:manualLayout>
              </c:layout>
              <c:spPr>
                <a:solidFill>
                  <a:srgbClr val="FFFFFF"/>
                </a:solidFill>
                <a:ln w="25400">
                  <a:noFill/>
                </a:ln>
              </c:spPr>
              <c:txPr>
                <a:bodyPr/>
                <a:lstStyle/>
                <a:p>
                  <a:pPr algn="ctr" rtl="1">
                    <a:defRPr sz="800" b="1" i="1"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5C9D-4F51-8F8A-FFF34B978567}"/>
                </c:ext>
                <c:ext xmlns:c15="http://schemas.microsoft.com/office/drawing/2012/chart" uri="{CE6537A1-D6FC-4f65-9D91-7224C49458BB}"/>
              </c:extLst>
            </c:dLbl>
            <c:dLbl>
              <c:idx val="3"/>
              <c:layout>
                <c:manualLayout>
                  <c:x val="-1.8771502802014672E-2"/>
                  <c:y val="3.2647904657850835E-2"/>
                </c:manualLayout>
              </c:layout>
              <c:spPr>
                <a:solidFill>
                  <a:srgbClr val="FFFFFF"/>
                </a:solidFill>
                <a:ln w="25400">
                  <a:noFill/>
                </a:ln>
              </c:spPr>
              <c:txPr>
                <a:bodyPr/>
                <a:lstStyle/>
                <a:p>
                  <a:pPr algn="ctr" rtl="1">
                    <a:defRPr sz="800" b="1" i="1"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5C9D-4F51-8F8A-FFF34B978567}"/>
                </c:ext>
                <c:ext xmlns:c15="http://schemas.microsoft.com/office/drawing/2012/chart" uri="{CE6537A1-D6FC-4f65-9D91-7224C49458BB}"/>
              </c:extLst>
            </c:dLbl>
            <c:dLbl>
              <c:idx val="4"/>
              <c:layout>
                <c:manualLayout>
                  <c:x val="-3.3430938320209977E-2"/>
                  <c:y val="3.6043284063176313E-2"/>
                </c:manualLayout>
              </c:layout>
              <c:spPr>
                <a:solidFill>
                  <a:srgbClr val="FFFFFF"/>
                </a:solidFill>
                <a:ln w="25400">
                  <a:noFill/>
                </a:ln>
              </c:spPr>
              <c:txPr>
                <a:bodyPr/>
                <a:lstStyle/>
                <a:p>
                  <a:pPr algn="ctr" rtl="1">
                    <a:defRPr sz="800" b="1" i="1"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5C9D-4F51-8F8A-FFF34B978567}"/>
                </c:ext>
                <c:ext xmlns:c15="http://schemas.microsoft.com/office/drawing/2012/chart" uri="{CE6537A1-D6FC-4f65-9D91-7224C49458BB}"/>
              </c:extLst>
            </c:dLbl>
            <c:dLbl>
              <c:idx val="5"/>
              <c:layout>
                <c:manualLayout>
                  <c:xMode val="edge"/>
                  <c:yMode val="edge"/>
                  <c:x val="0.61367249602543716"/>
                  <c:y val="0"/>
                </c:manualLayout>
              </c:layout>
              <c:spPr>
                <a:solidFill>
                  <a:srgbClr val="FFFFFF"/>
                </a:solidFill>
                <a:ln w="25400">
                  <a:noFill/>
                </a:ln>
              </c:spPr>
              <c:txPr>
                <a:bodyPr/>
                <a:lstStyle/>
                <a:p>
                  <a:pPr algn="ctr" rtl="1">
                    <a:defRPr sz="800"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5C9D-4F51-8F8A-FFF34B978567}"/>
                </c:ext>
                <c:ext xmlns:c15="http://schemas.microsoft.com/office/drawing/2012/chart" uri="{CE6537A1-D6FC-4f65-9D91-7224C49458BB}"/>
              </c:extLst>
            </c:dLbl>
            <c:dLbl>
              <c:idx val="6"/>
              <c:spPr>
                <a:solidFill>
                  <a:srgbClr val="FFFFFF"/>
                </a:solidFill>
                <a:ln w="25400">
                  <a:noFill/>
                </a:ln>
              </c:spPr>
              <c:txPr>
                <a:bodyPr/>
                <a:lstStyle/>
                <a:p>
                  <a:pPr algn="ctr" rtl="1">
                    <a:defRPr sz="800" b="1" i="0" u="none" strike="noStrike" baseline="0">
                      <a:solidFill>
                        <a:srgbClr val="000000"/>
                      </a:solidFill>
                      <a:latin typeface="Arial"/>
                      <a:ea typeface="Arial"/>
                      <a:cs typeface="Arial"/>
                    </a:defRPr>
                  </a:pPr>
                  <a:endParaRPr lang="en-US"/>
                </a:p>
              </c:txPr>
              <c:dLblPos val="ctr"/>
              <c:showLegendKey val="0"/>
              <c:showVal val="1"/>
              <c:showCatName val="0"/>
              <c:showSerName val="0"/>
              <c:showPercent val="0"/>
              <c:showBubbleSize val="0"/>
            </c:dLbl>
            <c:spPr>
              <a:solidFill>
                <a:srgbClr val="FFFFFF"/>
              </a:solidFill>
              <a:ln w="25400">
                <a:noFill/>
              </a:ln>
            </c:spPr>
            <c:txPr>
              <a:bodyPr wrap="square" lIns="38100" tIns="19050" rIns="38100" bIns="19050" anchor="ctr">
                <a:spAutoFit/>
              </a:bodyPr>
              <a:lstStyle/>
              <a:p>
                <a:pPr algn="ctr" rtl="1">
                  <a:defRPr sz="800" b="1" i="1" u="none" strike="noStrike" baseline="0">
                    <a:solidFill>
                      <a:srgbClr val="000000"/>
                    </a:solidFill>
                    <a:latin typeface="Arial"/>
                    <a:ea typeface="Arial"/>
                    <a:cs typeface="Arial"/>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Sheet1!$B$1:$F$1</c:f>
              <c:numCache>
                <c:formatCode>General</c:formatCode>
                <c:ptCount val="5"/>
                <c:pt idx="0">
                  <c:v>2015</c:v>
                </c:pt>
                <c:pt idx="1">
                  <c:v>2016</c:v>
                </c:pt>
                <c:pt idx="2">
                  <c:v>2017</c:v>
                </c:pt>
                <c:pt idx="3">
                  <c:v>2018</c:v>
                </c:pt>
                <c:pt idx="4">
                  <c:v>2019</c:v>
                </c:pt>
              </c:numCache>
            </c:numRef>
          </c:cat>
          <c:val>
            <c:numRef>
              <c:f>Sheet1!$B$5:$F$5</c:f>
              <c:numCache>
                <c:formatCode>0.00</c:formatCode>
                <c:ptCount val="5"/>
                <c:pt idx="0">
                  <c:v>3.93</c:v>
                </c:pt>
                <c:pt idx="1">
                  <c:v>2.2000000000000002</c:v>
                </c:pt>
                <c:pt idx="2">
                  <c:v>1.94</c:v>
                </c:pt>
                <c:pt idx="3">
                  <c:v>1.21</c:v>
                </c:pt>
                <c:pt idx="4">
                  <c:v>1.02</c:v>
                </c:pt>
              </c:numCache>
            </c:numRef>
          </c:val>
          <c:smooth val="0"/>
          <c:extLst xmlns:c16r2="http://schemas.microsoft.com/office/drawing/2015/06/chart">
            <c:ext xmlns:c16="http://schemas.microsoft.com/office/drawing/2014/chart" uri="{C3380CC4-5D6E-409C-BE32-E72D297353CC}">
              <c16:uniqueId val="{00000011-5C9D-4F51-8F8A-FFF34B978567}"/>
            </c:ext>
          </c:extLst>
        </c:ser>
        <c:dLbls>
          <c:showLegendKey val="0"/>
          <c:showVal val="0"/>
          <c:showCatName val="0"/>
          <c:showSerName val="0"/>
          <c:showPercent val="0"/>
          <c:showBubbleSize val="0"/>
        </c:dLbls>
        <c:marker val="1"/>
        <c:smooth val="0"/>
        <c:axId val="687726936"/>
        <c:axId val="687727328"/>
      </c:lineChart>
      <c:catAx>
        <c:axId val="6877261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700" b="1" i="0" u="none" strike="noStrike" baseline="0">
                <a:solidFill>
                  <a:srgbClr val="000000"/>
                </a:solidFill>
                <a:latin typeface="Arial"/>
                <a:ea typeface="Arial"/>
                <a:cs typeface="Arial"/>
              </a:defRPr>
            </a:pPr>
            <a:endParaRPr lang="en-US"/>
          </a:p>
        </c:txPr>
        <c:crossAx val="687726544"/>
        <c:crosses val="autoZero"/>
        <c:auto val="0"/>
        <c:lblAlgn val="ctr"/>
        <c:lblOffset val="100"/>
        <c:tickLblSkip val="1"/>
        <c:tickMarkSkip val="1"/>
        <c:noMultiLvlLbl val="0"/>
      </c:catAx>
      <c:valAx>
        <c:axId val="687726544"/>
        <c:scaling>
          <c:orientation val="minMax"/>
          <c:max val="40000"/>
        </c:scaling>
        <c:delete val="0"/>
        <c:axPos val="l"/>
        <c:title>
          <c:tx>
            <c:rich>
              <a:bodyPr/>
              <a:lstStyle/>
              <a:p>
                <a:pPr>
                  <a:defRPr sz="800" b="1" i="0" u="none" strike="noStrike" baseline="0">
                    <a:solidFill>
                      <a:srgbClr val="000000"/>
                    </a:solidFill>
                    <a:latin typeface="Arial"/>
                    <a:ea typeface="Arial"/>
                    <a:cs typeface="Arial"/>
                  </a:defRPr>
                </a:pPr>
                <a:r>
                  <a:rPr lang="x-none"/>
                  <a:t>mil. lei</a:t>
                </a:r>
              </a:p>
            </c:rich>
          </c:tx>
          <c:layout>
            <c:manualLayout>
              <c:xMode val="edge"/>
              <c:yMode val="edge"/>
              <c:x val="0"/>
              <c:y val="0.33454545454545453"/>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687726152"/>
        <c:crosses val="autoZero"/>
        <c:crossBetween val="between"/>
        <c:majorUnit val="5000"/>
      </c:valAx>
      <c:catAx>
        <c:axId val="687726936"/>
        <c:scaling>
          <c:orientation val="minMax"/>
        </c:scaling>
        <c:delete val="1"/>
        <c:axPos val="b"/>
        <c:numFmt formatCode="General" sourceLinked="1"/>
        <c:majorTickMark val="out"/>
        <c:minorTickMark val="none"/>
        <c:tickLblPos val="nextTo"/>
        <c:crossAx val="687727328"/>
        <c:crosses val="autoZero"/>
        <c:auto val="0"/>
        <c:lblAlgn val="ctr"/>
        <c:lblOffset val="100"/>
        <c:noMultiLvlLbl val="0"/>
      </c:catAx>
      <c:valAx>
        <c:axId val="687727328"/>
        <c:scaling>
          <c:orientation val="minMax"/>
          <c:max val="16"/>
        </c:scaling>
        <c:delete val="0"/>
        <c:axPos val="r"/>
        <c:title>
          <c:tx>
            <c:rich>
              <a:bodyPr rot="-120000" vert="horz"/>
              <a:lstStyle/>
              <a:p>
                <a:pPr algn="ctr">
                  <a:defRPr sz="1000" b="1" i="0" u="none" strike="noStrike" baseline="0">
                    <a:solidFill>
                      <a:srgbClr val="000000"/>
                    </a:solidFill>
                    <a:latin typeface="Arial"/>
                    <a:ea typeface="Arial"/>
                    <a:cs typeface="Arial"/>
                  </a:defRPr>
                </a:pPr>
                <a:r>
                  <a:rPr lang="ru-RU"/>
                  <a:t>%</a:t>
                </a:r>
              </a:p>
            </c:rich>
          </c:tx>
          <c:layout>
            <c:manualLayout>
              <c:xMode val="edge"/>
              <c:yMode val="edge"/>
              <c:x val="0.96661367249602548"/>
              <c:y val="0.32727272727272727"/>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687726936"/>
        <c:crosses val="max"/>
        <c:crossBetween val="between"/>
        <c:majorUnit val="5"/>
      </c:valAx>
      <c:spPr>
        <a:noFill/>
        <a:ln w="25400">
          <a:noFill/>
        </a:ln>
      </c:spPr>
    </c:plotArea>
    <c:legend>
      <c:legendPos val="b"/>
      <c:layout>
        <c:manualLayout>
          <c:xMode val="edge"/>
          <c:yMode val="edge"/>
          <c:x val="4.133545310015898E-2"/>
          <c:y val="0.77612255302619548"/>
          <c:w val="0.91255961844197142"/>
          <c:h val="0.2056955110826974"/>
        </c:manualLayout>
      </c:layout>
      <c:overlay val="0"/>
      <c:spPr>
        <a:noFill/>
        <a:ln w="25400">
          <a:noFill/>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withinLinearReversed" id="21">
  <a:schemeClr val="accent1"/>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0.66946</cdr:x>
      <cdr:y>0.11242</cdr:y>
    </cdr:from>
    <cdr:to>
      <cdr:x>0.67399</cdr:x>
      <cdr:y>0.8305</cdr:y>
    </cdr:to>
    <cdr:cxnSp macro="">
      <cdr:nvCxnSpPr>
        <cdr:cNvPr id="2" name="Straight Connector 1">
          <a:extLst xmlns:a="http://schemas.openxmlformats.org/drawingml/2006/main">
            <a:ext uri="{FF2B5EF4-FFF2-40B4-BE49-F238E27FC236}">
              <a16:creationId xmlns="" xmlns:a16="http://schemas.microsoft.com/office/drawing/2014/main" id="{6C4A7A96-77C2-4190-AB0F-1F0F52D65A72}"/>
            </a:ext>
          </a:extLst>
        </cdr:cNvPr>
        <cdr:cNvCxnSpPr/>
      </cdr:nvCxnSpPr>
      <cdr:spPr>
        <a:xfrm xmlns:a="http://schemas.openxmlformats.org/drawingml/2006/main" flipV="1">
          <a:off x="3774952" y="333375"/>
          <a:ext cx="25523" cy="2129434"/>
        </a:xfrm>
        <a:prstGeom xmlns:a="http://schemas.openxmlformats.org/drawingml/2006/main" prst="line">
          <a:avLst/>
        </a:prstGeom>
        <a:ln xmlns:a="http://schemas.openxmlformats.org/drawingml/2006/main" w="19050">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0.75489</cdr:x>
      <cdr:y>0.12373</cdr:y>
    </cdr:from>
    <cdr:to>
      <cdr:x>0.92351</cdr:x>
      <cdr:y>0.24163</cdr:y>
    </cdr:to>
    <cdr:sp macro="" textlink="">
      <cdr:nvSpPr>
        <cdr:cNvPr id="4" name="Flowchart: Process 18">
          <a:extLst xmlns:a="http://schemas.openxmlformats.org/drawingml/2006/main">
            <a:ext uri="{FF2B5EF4-FFF2-40B4-BE49-F238E27FC236}">
              <a16:creationId xmlns="" xmlns:a16="http://schemas.microsoft.com/office/drawing/2014/main" id="{713D9831-9B7D-4276-9892-1FF414D947BF}"/>
            </a:ext>
          </a:extLst>
        </cdr:cNvPr>
        <cdr:cNvSpPr/>
      </cdr:nvSpPr>
      <cdr:spPr>
        <a:xfrm xmlns:a="http://schemas.openxmlformats.org/drawingml/2006/main">
          <a:off x="3854015" y="366915"/>
          <a:ext cx="860860" cy="349627"/>
        </a:xfrm>
        <a:prstGeom xmlns:a="http://schemas.openxmlformats.org/drawingml/2006/main" prst="flowChartProcess">
          <a:avLst/>
        </a:prstGeom>
        <a:solidFill xmlns:a="http://schemas.openxmlformats.org/drawingml/2006/main">
          <a:sysClr val="window" lastClr="FFFFFF"/>
        </a:solidFill>
        <a:ln xmlns:a="http://schemas.openxmlformats.org/drawingml/2006/main" w="12700" cap="flat" cmpd="sng" algn="ctr">
          <a:solidFill>
            <a:sysClr val="window" lastClr="FFFFFF"/>
          </a:solidFill>
          <a:prstDash val="solid"/>
          <a:miter lim="800000"/>
        </a:ln>
        <a:effectLst xmlns:a="http://schemas.openxmlformats.org/drawingml/2006/main"/>
      </cdr:spPr>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marL="0" marR="0" algn="ctr">
            <a:lnSpc>
              <a:spcPct val="107000"/>
            </a:lnSpc>
            <a:spcBef>
              <a:spcPts val="0"/>
            </a:spcBef>
            <a:spcAft>
              <a:spcPts val="800"/>
            </a:spcAft>
          </a:pPr>
          <a:r>
            <a:rPr lang="en-US" sz="1100">
              <a:ln>
                <a:noFill/>
              </a:ln>
              <a:solidFill>
                <a:srgbClr val="000000"/>
              </a:solidFill>
              <a:effectLst/>
              <a:latin typeface="Calibri" panose="020F0502020204030204" pitchFamily="34" charset="0"/>
              <a:ea typeface="Calibri" panose="020F0502020204030204" pitchFamily="34" charset="0"/>
              <a:cs typeface="Times New Roman" panose="02020603050405020304" pitchFamily="18" charset="0"/>
            </a:rPr>
            <a:t>Reforma fiscală</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012AA-3B6C-4ED5-86AA-05F3D641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10930</Words>
  <Characters>62307</Characters>
  <Application>Microsoft Office Word</Application>
  <DocSecurity>0</DocSecurity>
  <Lines>519</Lines>
  <Paragraphs>146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INFORMAŢIE  OPERATIVĂ</vt:lpstr>
      <vt:lpstr>INFORMAŢIE  OPERATIVĂ</vt:lpstr>
      <vt:lpstr>INFORMAŢIE  OPERATIVĂ</vt:lpstr>
    </vt:vector>
  </TitlesOfParts>
  <Company>MEC</Company>
  <LinksUpToDate>false</LinksUpToDate>
  <CharactersWithSpaces>73091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INFORMAŢIE  OPERATIVĂ</dc:title>
  <dc:subject/>
  <dc:creator>Tatiana</dc:creator>
  <cp:keywords/>
  <dc:description/>
  <cp:lastModifiedBy>Rodica</cp:lastModifiedBy>
  <cp:revision>2</cp:revision>
  <cp:lastPrinted>2019-03-07T07:00:00Z</cp:lastPrinted>
  <dcterms:created xsi:type="dcterms:W3CDTF">2019-03-07T10:02:00Z</dcterms:created>
  <dcterms:modified xsi:type="dcterms:W3CDTF">2019-03-07T10:02:00Z</dcterms:modified>
</cp:coreProperties>
</file>